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right"/>
      </w:pPr>
      <w:r>
        <w:rPr>
          <w:rFonts w:ascii="Aptos" w:hAnsi="Aptos"/>
          <w:b w:val="0"/>
          <w:i w:val="0"/>
          <w:color w:val="6B7C93"/>
          <w:sz w:val="23"/>
        </w:rPr>
        <w:t>Mini-catalogue sectoriel | IA métier, formation et accompagnement</w:t>
      </w:r>
    </w:p>
    <w:p>
      <w:pPr>
        <w:spacing w:after="0"/>
      </w:pPr>
      <w:r>
        <w:rPr>
          <w:rFonts w:ascii="Aptos Display" w:hAnsi="Aptos Display"/>
          <w:b/>
          <w:i w:val="0"/>
          <w:color w:val="EF6C12"/>
          <w:sz w:val="36"/>
        </w:rPr>
        <w:t>MINI-CATALOGUE</w:t>
      </w:r>
    </w:p>
    <w:p>
      <w:pPr>
        <w:spacing w:after="40"/>
      </w:pPr>
      <w:r>
        <w:rPr>
          <w:rFonts w:ascii="Aptos Display" w:hAnsi="Aptos Display"/>
          <w:b/>
          <w:i w:val="0"/>
          <w:color w:val="1C3963"/>
          <w:sz w:val="52"/>
        </w:rPr>
        <w:t>SOLUTIONS IA ET FORMATIONS STRATÉGIQUES</w:t>
      </w:r>
    </w:p>
    <w:p>
      <w:pPr>
        <w:spacing w:after="320"/>
      </w:pPr>
      <w:r>
        <w:rPr>
          <w:rFonts w:ascii="Aptos Display" w:hAnsi="Aptos Display"/>
          <w:b/>
          <w:i w:val="0"/>
          <w:color w:val="1C8A78"/>
          <w:sz w:val="38"/>
        </w:rPr>
        <w:t>pour les directions service client et relation usager</w:t>
      </w:r>
    </w:p>
    <w:p>
      <w:pPr>
        <w:spacing w:after="60"/>
      </w:pPr>
      <w:r>
        <w:rPr>
          <w:rFonts w:ascii="Aptos" w:hAnsi="Aptos"/>
          <w:b w:val="0"/>
          <w:i w:val="0"/>
          <w:color w:val="6B7C93"/>
          <w:sz w:val="25"/>
        </w:rPr>
        <w:t>Relation client · Centres de contact · Support · Qualité de service · Supervision</w:t>
      </w:r>
    </w:p>
    <w:p>
      <w:pPr>
        <w:spacing w:after="60"/>
      </w:pPr>
      <w:r>
        <w:rPr>
          <w:rFonts w:ascii="Aptos" w:hAnsi="Aptos"/>
          <w:b w:val="0"/>
          <w:i w:val="0"/>
          <w:color w:val="6B7C93"/>
          <w:sz w:val="25"/>
        </w:rPr>
        <w:t>Document de présentation sectoriel | Présentiel · Hybride · En ligne</w:t>
      </w:r>
    </w:p>
    <w:p>
      <w:pPr>
        <w:keepNext/>
        <w:pageBreakBefore w:val="0"/>
        <w:spacing w:before="200" w:after="60"/>
      </w:pPr>
      <w:r>
        <w:rPr>
          <w:rFonts w:ascii="Aptos" w:hAnsi="Aptos"/>
          <w:b/>
          <w:i w:val="0"/>
          <w:color w:val="EF6C12"/>
          <w:sz w:val="36"/>
        </w:rPr>
        <w:t xml:space="preserve">▌ </w:t>
      </w:r>
      <w:r>
        <w:rPr>
          <w:rFonts w:ascii="Aptos Display" w:hAnsi="Aptos Display"/>
          <w:b/>
          <w:i w:val="0"/>
          <w:color w:val="1C3963"/>
          <w:sz w:val="39"/>
        </w:rPr>
        <w:t>PROMESSE CENTRALE</w:t>
      </w:r>
    </w:p>
    <w:p>
      <w:pPr>
        <w:spacing w:after="60"/>
      </w:pPr>
      <w:r>
        <w:rPr>
          <w:rFonts w:ascii="Aptos" w:hAnsi="Aptos"/>
          <w:b w:val="0"/>
          <w:i w:val="0"/>
          <w:color w:val="1C3963"/>
          <w:sz w:val="26"/>
        </w:rPr>
        <w:t>Transformer l’IA en usages concrets, activables et gouvernés pour accélérer la réponse, stabiliser la qualité de traitement, mieux exploiter les retours clients et renforcer le pilotage omnicanal.</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POSITIONNEMENT DE L’OFFRE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c>
          <w:tcPr>
            <w:tcW w:type="dxa" w:w="9354"/>
            <w:vAlign w:val="center"/>
            <w:shd w:fill="F8F3EC"/>
            <w:tcBorders>
              <w:top w:val="single" w:sz="8" w:color="F1A56E"/>
              <w:left w:val="single" w:sz="8" w:color="F1A56E"/>
              <w:bottom w:val="single" w:sz="8" w:color="F1A56E"/>
              <w:right w:val="single" w:sz="8" w:color="F1A56E"/>
            </w:tcBorders>
          </w:tcPr>
          <w:p>
            <w:pPr>
              <w:spacing w:after="60"/>
            </w:pPr>
            <w:r>
              <w:rPr>
                <w:rFonts w:ascii="Aptos Display" w:hAnsi="Aptos Display"/>
                <w:b/>
                <w:i w:val="0"/>
                <w:color w:val="1C3963"/>
                <w:sz w:val="32"/>
              </w:rPr>
              <w:t>Proposition ciblée</w:t>
            </w:r>
          </w:p>
          <w:p>
            <w:pPr>
              <w:spacing w:after="0"/>
            </w:pPr>
            <w:r>
              <w:rPr>
                <w:rFonts w:ascii="Aptos" w:hAnsi="Aptos"/>
                <w:b w:val="0"/>
                <w:i w:val="0"/>
                <w:color w:val="1C3963"/>
                <w:sz w:val="25"/>
              </w:rPr>
              <w:t>TransferAI propose une trajectoire simple et pilotable : identifier les demandes les plus récurrentes, fiabiliser les réponses, renforcer la lecture des irritants clients et lancer un premier pilote utile autour de la qualité de service et de la résolution.</w:t>
            </w:r>
          </w:p>
        </w:tc>
      </w:tr>
    </w:tbl>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BÉNÉFICES MÉTIER VISIBLES</w:t>
      </w:r>
    </w:p>
    <w:p>
      <w:pPr>
        <w:pStyle w:val="ListBullet"/>
        <w:spacing w:after="20"/>
      </w:pPr>
      <w:r>
        <w:rPr>
          <w:rFonts w:ascii="Aptos" w:hAnsi="Aptos"/>
          <w:b w:val="0"/>
          <w:i w:val="0"/>
          <w:color w:val="1C3963"/>
          <w:sz w:val="24"/>
        </w:rPr>
        <w:t>Réponses plus rapides, plus cohérentes et mieux traçables sur plusieurs canaux.</w:t>
      </w:r>
    </w:p>
    <w:p>
      <w:pPr>
        <w:pStyle w:val="ListBullet"/>
        <w:spacing w:after="20"/>
      </w:pPr>
      <w:r>
        <w:rPr>
          <w:rFonts w:ascii="Aptos" w:hAnsi="Aptos"/>
          <w:b w:val="0"/>
          <w:i w:val="0"/>
          <w:color w:val="1C3963"/>
          <w:sz w:val="24"/>
        </w:rPr>
        <w:t>Premier niveau de qualification plus fluide pour les demandes récurrentes.</w:t>
      </w:r>
    </w:p>
    <w:p>
      <w:pPr>
        <w:pStyle w:val="ListBullet"/>
        <w:spacing w:after="20"/>
      </w:pPr>
      <w:r>
        <w:rPr>
          <w:rFonts w:ascii="Aptos" w:hAnsi="Aptos"/>
          <w:b w:val="0"/>
          <w:i w:val="0"/>
          <w:color w:val="1C3963"/>
          <w:sz w:val="24"/>
        </w:rPr>
        <w:t>Verbatims, réclamations et signaux faibles mieux regroupés pour les managers.</w:t>
      </w:r>
    </w:p>
    <w:p>
      <w:pPr>
        <w:pStyle w:val="ListBullet"/>
        <w:spacing w:after="20"/>
      </w:pPr>
      <w:r>
        <w:rPr>
          <w:rFonts w:ascii="Aptos" w:hAnsi="Aptos"/>
          <w:b w:val="0"/>
          <w:i w:val="0"/>
          <w:color w:val="1C3963"/>
          <w:sz w:val="24"/>
        </w:rPr>
        <w:t>KPI de service mieux commentés et plus directement reliés à des plans d’action.</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01 - SYNTHÈSE EXÉCUTIVE SERVICE CLIENT</w:t>
      </w:r>
    </w:p>
    <w:p>
      <w:pPr>
        <w:spacing w:after="60"/>
      </w:pPr>
      <w:r>
        <w:rPr>
          <w:rFonts w:ascii="Aptos" w:hAnsi="Aptos"/>
          <w:b w:val="0"/>
          <w:i w:val="0"/>
          <w:color w:val="1C3963"/>
          <w:sz w:val="25"/>
        </w:rPr>
        <w:t>Dans le service client, la valeur de l’IA se mesure à travers la réactivité, la qualité de réponse, la résolution, l’exploitation du feedback client et la capacité des managers à piloter rapidement les priorités d’amélioration.</w:t>
      </w:r>
    </w:p>
    <w:p>
      <w:pPr>
        <w:keepNext/>
        <w:spacing w:before="100" w:after="60"/>
      </w:pPr>
      <w:r>
        <w:rPr>
          <w:rFonts w:ascii="Aptos Display" w:hAnsi="Aptos Display"/>
          <w:b/>
          <w:i w:val="0"/>
          <w:color w:val="1C3963"/>
          <w:sz w:val="30"/>
        </w:rPr>
        <w:t>Priorités métier les plus crédibles</w:t>
      </w:r>
    </w:p>
    <w:p>
      <w:pPr>
        <w:pStyle w:val="ListBullet"/>
        <w:spacing w:after="20"/>
      </w:pPr>
      <w:r>
        <w:rPr>
          <w:rFonts w:ascii="Aptos" w:hAnsi="Aptos"/>
          <w:b w:val="0"/>
          <w:i w:val="0"/>
          <w:color w:val="1C3963"/>
          <w:sz w:val="25"/>
        </w:rPr>
        <w:t>Réponses hétérogènes selon les canaux, les personnes ou le niveau de pression.</w:t>
      </w:r>
    </w:p>
    <w:p>
      <w:pPr>
        <w:pStyle w:val="ListBullet"/>
        <w:spacing w:after="20"/>
      </w:pPr>
      <w:r>
        <w:rPr>
          <w:rFonts w:ascii="Aptos" w:hAnsi="Aptos"/>
          <w:b w:val="0"/>
          <w:i w:val="0"/>
          <w:color w:val="1C3963"/>
          <w:sz w:val="25"/>
        </w:rPr>
        <w:t>Traitement lent des demandes simples mais très nombreuses.</w:t>
      </w:r>
    </w:p>
    <w:p>
      <w:pPr>
        <w:pStyle w:val="ListBullet"/>
        <w:spacing w:after="20"/>
      </w:pPr>
      <w:r>
        <w:rPr>
          <w:rFonts w:ascii="Aptos" w:hAnsi="Aptos"/>
          <w:b w:val="0"/>
          <w:i w:val="0"/>
          <w:color w:val="1C3963"/>
          <w:sz w:val="25"/>
        </w:rPr>
        <w:t>Réclamations et verbatims encore peu exploités pour corriger les parcours.</w:t>
      </w:r>
    </w:p>
    <w:p>
      <w:pPr>
        <w:pStyle w:val="ListBullet"/>
        <w:spacing w:after="20"/>
      </w:pPr>
      <w:r>
        <w:rPr>
          <w:rFonts w:ascii="Aptos" w:hAnsi="Aptos"/>
          <w:b w:val="0"/>
          <w:i w:val="0"/>
          <w:color w:val="1C3963"/>
          <w:sz w:val="25"/>
        </w:rPr>
        <w:t>Pilotage difficile faute de lecture rapide et exploitable des indicateurs de service.</w:t>
      </w:r>
    </w:p>
    <w:p>
      <w:pPr>
        <w:keepNext/>
        <w:spacing w:before="100" w:after="60"/>
      </w:pPr>
      <w:r>
        <w:rPr>
          <w:rFonts w:ascii="Aptos Display" w:hAnsi="Aptos Display"/>
          <w:b/>
          <w:i w:val="0"/>
          <w:color w:val="1C3963"/>
          <w:sz w:val="30"/>
        </w:rPr>
        <w:t>KPI de référence</w:t>
      </w:r>
    </w:p>
    <w:p>
      <w:pPr>
        <w:pStyle w:val="ListBullet"/>
        <w:spacing w:after="20"/>
      </w:pPr>
      <w:r>
        <w:rPr>
          <w:rFonts w:ascii="Aptos" w:hAnsi="Aptos"/>
          <w:b w:val="0"/>
          <w:i w:val="0"/>
          <w:color w:val="1C3963"/>
          <w:sz w:val="25"/>
        </w:rPr>
        <w:t>Temps moyen de réponse et taux de résolution au premier niveau.</w:t>
      </w:r>
    </w:p>
    <w:p>
      <w:pPr>
        <w:pStyle w:val="ListBullet"/>
        <w:spacing w:after="20"/>
      </w:pPr>
      <w:r>
        <w:rPr>
          <w:rFonts w:ascii="Aptos" w:hAnsi="Aptos"/>
          <w:b w:val="0"/>
          <w:i w:val="0"/>
          <w:color w:val="1C3963"/>
          <w:sz w:val="25"/>
        </w:rPr>
        <w:t>Temps de qualification et délai d’escalade.</w:t>
      </w:r>
    </w:p>
    <w:p>
      <w:pPr>
        <w:pStyle w:val="ListBullet"/>
        <w:spacing w:after="20"/>
      </w:pPr>
      <w:r>
        <w:rPr>
          <w:rFonts w:ascii="Aptos" w:hAnsi="Aptos"/>
          <w:b w:val="0"/>
          <w:i w:val="0"/>
          <w:color w:val="1C3963"/>
          <w:sz w:val="25"/>
        </w:rPr>
        <w:t>Délai d’analyse des verbatims et volume de motifs consolidés.</w:t>
      </w:r>
    </w:p>
    <w:p>
      <w:pPr>
        <w:pStyle w:val="ListBullet"/>
        <w:spacing w:after="20"/>
      </w:pPr>
      <w:r>
        <w:rPr>
          <w:rFonts w:ascii="Aptos" w:hAnsi="Aptos"/>
          <w:b w:val="0"/>
          <w:i w:val="0"/>
          <w:color w:val="1C3963"/>
          <w:sz w:val="25"/>
        </w:rPr>
        <w:t>CSAT / NPS et vitesse de réaction des managers sur les irritants.</w:t>
      </w:r>
    </w:p>
    <w:p>
      <w:pPr>
        <w:keepNext/>
        <w:spacing w:before="100" w:after="60"/>
      </w:pPr>
      <w:r>
        <w:rPr>
          <w:rFonts w:ascii="Aptos Display" w:hAnsi="Aptos Display"/>
          <w:b/>
          <w:i w:val="0"/>
          <w:color w:val="1C3963"/>
          <w:sz w:val="30"/>
        </w:rPr>
        <w:t>Approche recommandée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c>
          <w:tcPr>
            <w:tcW w:type="dxa" w:w="9354"/>
            <w:vAlign w:val="center"/>
            <w:shd w:fill="F8F3EC"/>
            <w:tcBorders>
              <w:top w:val="single" w:sz="8" w:color="F1A56E"/>
              <w:left w:val="single" w:sz="8" w:color="F1A56E"/>
              <w:bottom w:val="single" w:sz="8" w:color="F1A56E"/>
              <w:right w:val="single" w:sz="8" w:color="F1A56E"/>
            </w:tcBorders>
          </w:tcPr>
          <w:p>
            <w:pPr>
              <w:spacing w:after="60"/>
            </w:pPr>
            <w:r>
              <w:rPr>
                <w:rFonts w:ascii="Aptos Display" w:hAnsi="Aptos Display"/>
                <w:b/>
                <w:i w:val="0"/>
                <w:color w:val="1C3963"/>
                <w:sz w:val="32"/>
              </w:rPr>
              <w:t>Séquence recommandée</w:t>
            </w:r>
          </w:p>
          <w:p>
            <w:pPr>
              <w:spacing w:after="0"/>
            </w:pPr>
            <w:r>
              <w:rPr>
                <w:rFonts w:ascii="Aptos" w:hAnsi="Aptos"/>
                <w:b w:val="0"/>
                <w:i w:val="0"/>
                <w:color w:val="1C3963"/>
                <w:sz w:val="25"/>
              </w:rPr>
              <w:t>Audit IA gratuit, cadrage de deux parcours prioritaires, bootcamp ciblé pour décideurs, managers et équipes support, puis accompagnement sur 90 jours avec KPI simples, supervision humaine et décision d’extension.</w:t>
            </w:r>
          </w:p>
        </w:tc>
      </w:tr>
    </w:tbl>
    <w:p>
      <w:pPr>
        <w:keepNext/>
        <w:spacing w:before="100" w:after="60"/>
      </w:pPr>
      <w:r>
        <w:rPr>
          <w:rFonts w:ascii="Aptos Display" w:hAnsi="Aptos Display"/>
          <w:b/>
          <w:i w:val="0"/>
          <w:color w:val="1C3963"/>
          <w:sz w:val="30"/>
        </w:rPr>
        <w:t>Résultats attendus</w:t>
      </w:r>
    </w:p>
    <w:p>
      <w:pPr>
        <w:pStyle w:val="ListBullet"/>
        <w:spacing w:after="20"/>
      </w:pPr>
      <w:r>
        <w:rPr>
          <w:rFonts w:ascii="Aptos" w:hAnsi="Aptos"/>
          <w:b w:val="0"/>
          <w:i w:val="0"/>
          <w:color w:val="1C3963"/>
          <w:sz w:val="25"/>
        </w:rPr>
        <w:t>Temps de réponse réduit sur les demandes simples et récurrentes.</w:t>
      </w:r>
    </w:p>
    <w:p>
      <w:pPr>
        <w:pStyle w:val="ListBullet"/>
        <w:spacing w:after="20"/>
      </w:pPr>
      <w:r>
        <w:rPr>
          <w:rFonts w:ascii="Aptos" w:hAnsi="Aptos"/>
          <w:b w:val="0"/>
          <w:i w:val="0"/>
          <w:color w:val="1C3963"/>
          <w:sz w:val="25"/>
        </w:rPr>
        <w:t>Meilleure cohérence sur plusieurs canaux grâce à des trames et assistants encadrés.</w:t>
      </w:r>
    </w:p>
    <w:p>
      <w:pPr>
        <w:pStyle w:val="ListBullet"/>
        <w:spacing w:after="20"/>
      </w:pPr>
      <w:r>
        <w:rPr>
          <w:rFonts w:ascii="Aptos" w:hAnsi="Aptos"/>
          <w:b w:val="0"/>
          <w:i w:val="0"/>
          <w:color w:val="1C3963"/>
          <w:sz w:val="25"/>
        </w:rPr>
        <w:t>Feedback client plus exploitable pour les superviseurs et responsables qualité.</w:t>
      </w:r>
    </w:p>
    <w:p>
      <w:pPr>
        <w:pStyle w:val="ListBullet"/>
        <w:spacing w:after="20"/>
      </w:pPr>
      <w:r>
        <w:rPr>
          <w:rFonts w:ascii="Aptos" w:hAnsi="Aptos"/>
          <w:b w:val="0"/>
          <w:i w:val="0"/>
          <w:color w:val="1C3963"/>
          <w:sz w:val="25"/>
        </w:rPr>
        <w:t>Première feuille de route claire sur les usages IA à lancer en service client.</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02 - FORMULE PRIORITAIRE</w:t>
      </w:r>
    </w:p>
    <w:p>
      <w:pPr>
        <w:keepNext/>
        <w:spacing w:before="40" w:after="40"/>
      </w:pPr>
      <w:r>
        <w:rPr>
          <w:rFonts w:ascii="Aptos Display" w:hAnsi="Aptos Display"/>
          <w:b/>
          <w:i w:val="0"/>
          <w:color w:val="1C3963"/>
          <w:sz w:val="27"/>
        </w:rPr>
        <w:t>Intitulé</w:t>
      </w:r>
    </w:p>
    <w:p>
      <w:pPr>
        <w:spacing w:after="60"/>
      </w:pPr>
      <w:r>
        <w:rPr>
          <w:rFonts w:ascii="Aptos" w:hAnsi="Aptos"/>
          <w:b w:val="0"/>
          <w:i w:val="0"/>
          <w:color w:val="1C3963"/>
          <w:sz w:val="24"/>
        </w:rPr>
        <w:t>Bootcamp IA Service Client : de l’acculturation utile au premier pilote mesurable.</w:t>
      </w:r>
    </w:p>
    <w:p>
      <w:pPr>
        <w:keepNext/>
        <w:spacing w:before="40" w:after="40"/>
      </w:pPr>
      <w:r>
        <w:rPr>
          <w:rFonts w:ascii="Aptos Display" w:hAnsi="Aptos Display"/>
          <w:b/>
          <w:i w:val="0"/>
          <w:color w:val="1C3963"/>
          <w:sz w:val="27"/>
        </w:rPr>
        <w:t>Public cible</w:t>
      </w:r>
    </w:p>
    <w:p>
      <w:pPr>
        <w:spacing w:after="60"/>
      </w:pPr>
      <w:r>
        <w:rPr>
          <w:rFonts w:ascii="Aptos" w:hAnsi="Aptos"/>
          <w:b w:val="0"/>
          <w:i w:val="0"/>
          <w:color w:val="1C3963"/>
          <w:sz w:val="24"/>
        </w:rPr>
        <w:t>Directions relation client, centres de contact, support, qualité de service, supervision.</w:t>
      </w:r>
    </w:p>
    <w:p>
      <w:pPr>
        <w:keepNext/>
        <w:spacing w:before="40" w:after="40"/>
      </w:pPr>
      <w:r>
        <w:rPr>
          <w:rFonts w:ascii="Aptos Display" w:hAnsi="Aptos Display"/>
          <w:b/>
          <w:i w:val="0"/>
          <w:color w:val="1C3963"/>
          <w:sz w:val="27"/>
        </w:rPr>
        <w:t>Formats possibles</w:t>
      </w:r>
    </w:p>
    <w:p>
      <w:pPr>
        <w:pStyle w:val="ListBullet"/>
        <w:spacing w:after="0"/>
      </w:pPr>
      <w:r>
        <w:rPr>
          <w:rFonts w:ascii="Aptos" w:hAnsi="Aptos"/>
          <w:b w:val="0"/>
          <w:i w:val="0"/>
          <w:color w:val="1C3963"/>
          <w:sz w:val="23"/>
        </w:rPr>
        <w:t>Présentiel</w:t>
      </w:r>
    </w:p>
    <w:p>
      <w:pPr>
        <w:pStyle w:val="ListBullet"/>
        <w:spacing w:after="0"/>
      </w:pPr>
      <w:r>
        <w:rPr>
          <w:rFonts w:ascii="Aptos" w:hAnsi="Aptos"/>
          <w:b w:val="0"/>
          <w:i w:val="0"/>
          <w:color w:val="1C3963"/>
          <w:sz w:val="23"/>
        </w:rPr>
        <w:t>Hybride</w:t>
      </w:r>
    </w:p>
    <w:p>
      <w:pPr>
        <w:pStyle w:val="ListBullet"/>
        <w:spacing w:after="0"/>
      </w:pPr>
      <w:r>
        <w:rPr>
          <w:rFonts w:ascii="Aptos" w:hAnsi="Aptos"/>
          <w:b w:val="0"/>
          <w:i w:val="0"/>
          <w:color w:val="1C3963"/>
          <w:sz w:val="23"/>
        </w:rPr>
        <w:t>En ligne (style webinaire)</w:t>
      </w:r>
    </w:p>
    <w:p>
      <w:pPr>
        <w:keepNext/>
        <w:spacing w:before="40" w:after="40"/>
      </w:pPr>
      <w:r>
        <w:rPr>
          <w:rFonts w:ascii="Aptos Display" w:hAnsi="Aptos Display"/>
          <w:b/>
          <w:i w:val="0"/>
          <w:color w:val="1C3963"/>
          <w:sz w:val="27"/>
        </w:rPr>
        <w:t>Niveaux</w:t>
      </w:r>
    </w:p>
    <w:p>
      <w:pPr>
        <w:pStyle w:val="ListBullet"/>
        <w:spacing w:after="0"/>
      </w:pPr>
      <w:r>
        <w:rPr>
          <w:rFonts w:ascii="Aptos" w:hAnsi="Aptos"/>
          <w:b w:val="0"/>
          <w:i w:val="0"/>
          <w:color w:val="1C3963"/>
          <w:sz w:val="23"/>
        </w:rPr>
        <w:t>Débutant</w:t>
      </w:r>
    </w:p>
    <w:p>
      <w:pPr>
        <w:pStyle w:val="ListBullet"/>
        <w:spacing w:after="0"/>
      </w:pPr>
      <w:r>
        <w:rPr>
          <w:rFonts w:ascii="Aptos" w:hAnsi="Aptos"/>
          <w:b w:val="0"/>
          <w:i w:val="0"/>
          <w:color w:val="1C3963"/>
          <w:sz w:val="23"/>
        </w:rPr>
        <w:t>Intermédiaire</w:t>
      </w:r>
    </w:p>
    <w:p>
      <w:pPr>
        <w:pStyle w:val="ListBullet"/>
        <w:spacing w:after="0"/>
      </w:pPr>
      <w:r>
        <w:rPr>
          <w:rFonts w:ascii="Aptos" w:hAnsi="Aptos"/>
          <w:b w:val="0"/>
          <w:i w:val="0"/>
          <w:color w:val="1C3963"/>
          <w:sz w:val="23"/>
        </w:rPr>
        <w:t>Avancé</w:t>
      </w:r>
    </w:p>
    <w:p>
      <w:pPr>
        <w:keepNext/>
        <w:spacing w:before="40" w:after="40"/>
      </w:pPr>
      <w:r>
        <w:rPr>
          <w:rFonts w:ascii="Aptos Display" w:hAnsi="Aptos Display"/>
          <w:b/>
          <w:i w:val="0"/>
          <w:color w:val="1C3963"/>
          <w:sz w:val="27"/>
        </w:rPr>
        <w:t>Durée</w:t>
      </w:r>
    </w:p>
    <w:p>
      <w:pPr>
        <w:pStyle w:val="ListBullet"/>
        <w:spacing w:after="0"/>
      </w:pPr>
      <w:r>
        <w:rPr>
          <w:rFonts w:ascii="Aptos" w:hAnsi="Aptos"/>
          <w:b w:val="0"/>
          <w:i w:val="0"/>
          <w:color w:val="1C3963"/>
          <w:sz w:val="23"/>
        </w:rPr>
        <w:t>1 jour : version décideurs et managers.</w:t>
      </w:r>
    </w:p>
    <w:p>
      <w:pPr>
        <w:pStyle w:val="ListBullet"/>
        <w:spacing w:after="0"/>
      </w:pPr>
      <w:r>
        <w:rPr>
          <w:rFonts w:ascii="Aptos" w:hAnsi="Aptos"/>
          <w:b w:val="0"/>
          <w:i w:val="0"/>
          <w:color w:val="1C3963"/>
          <w:sz w:val="23"/>
        </w:rPr>
        <w:t>2 jours : version équipes, managers et mise en pratique.</w:t>
      </w:r>
    </w:p>
    <w:p>
      <w:pPr>
        <w:keepNext/>
        <w:spacing w:before="40" w:after="40"/>
      </w:pPr>
      <w:r>
        <w:rPr>
          <w:rFonts w:ascii="Aptos Display" w:hAnsi="Aptos Display"/>
          <w:b/>
          <w:i w:val="0"/>
          <w:color w:val="1C3963"/>
          <w:sz w:val="27"/>
        </w:rPr>
        <w:t>Tarif</w:t>
      </w:r>
    </w:p>
    <w:p>
      <w:pPr>
        <w:spacing w:after="60"/>
      </w:pPr>
      <w:r>
        <w:rPr>
          <w:rFonts w:ascii="Aptos" w:hAnsi="Aptos"/>
          <w:b w:val="0"/>
          <w:i w:val="0"/>
          <w:color w:val="1C3963"/>
          <w:sz w:val="24"/>
        </w:rPr>
        <w:t>Prix sur demande.</w:t>
      </w:r>
    </w:p>
    <w:p>
      <w:pPr>
        <w:keepNext/>
        <w:spacing w:before="40" w:after="40"/>
      </w:pPr>
      <w:r>
        <w:rPr>
          <w:rFonts w:ascii="Aptos Display" w:hAnsi="Aptos Display"/>
          <w:b/>
          <w:i w:val="0"/>
          <w:color w:val="1C3963"/>
          <w:sz w:val="27"/>
        </w:rPr>
        <w:t>Objectifs pédagogiques</w:t>
      </w:r>
    </w:p>
    <w:p>
      <w:pPr>
        <w:pStyle w:val="ListBullet"/>
        <w:spacing w:after="0"/>
      </w:pPr>
      <w:r>
        <w:rPr>
          <w:rFonts w:ascii="Aptos" w:hAnsi="Aptos"/>
          <w:b w:val="0"/>
          <w:i w:val="0"/>
          <w:color w:val="1C3963"/>
          <w:sz w:val="23"/>
        </w:rPr>
        <w:t>Identifier les priorités métier les plus crédibles à traiter par l’IA en service client.</w:t>
      </w:r>
    </w:p>
    <w:p>
      <w:pPr>
        <w:pStyle w:val="ListBullet"/>
        <w:spacing w:after="0"/>
      </w:pPr>
      <w:r>
        <w:rPr>
          <w:rFonts w:ascii="Aptos" w:hAnsi="Aptos"/>
          <w:b w:val="0"/>
          <w:i w:val="0"/>
          <w:color w:val="1C3963"/>
          <w:sz w:val="23"/>
        </w:rPr>
        <w:t>Structurer les usages liés à la réponse, à la qualification, aux verbatims et au pilotage de service.</w:t>
      </w:r>
    </w:p>
    <w:p>
      <w:pPr>
        <w:pStyle w:val="ListBullet"/>
        <w:spacing w:after="0"/>
      </w:pPr>
      <w:r>
        <w:rPr>
          <w:rFonts w:ascii="Aptos" w:hAnsi="Aptos"/>
          <w:b w:val="0"/>
          <w:i w:val="0"/>
          <w:color w:val="1C3963"/>
          <w:sz w:val="23"/>
        </w:rPr>
        <w:t>Distinguer les usages activables rapidement, ceux à encadrer et ceux à piloter dans le temps.</w:t>
      </w:r>
    </w:p>
    <w:p>
      <w:pPr>
        <w:pStyle w:val="ListBullet"/>
        <w:spacing w:after="0"/>
      </w:pPr>
      <w:r>
        <w:rPr>
          <w:rFonts w:ascii="Aptos" w:hAnsi="Aptos"/>
          <w:b w:val="0"/>
          <w:i w:val="0"/>
          <w:color w:val="1C3963"/>
          <w:sz w:val="23"/>
        </w:rPr>
        <w:t>Définir des KPI simples, un cadre de confiance et un premier plan d’action à 90 jours.</w:t>
      </w:r>
    </w:p>
    <w:p>
      <w:pPr>
        <w:keepNext/>
        <w:spacing w:before="40" w:after="40"/>
      </w:pPr>
      <w:r>
        <w:rPr>
          <w:rFonts w:ascii="Aptos Display" w:hAnsi="Aptos Display"/>
          <w:b/>
          <w:i w:val="0"/>
          <w:color w:val="1C3963"/>
          <w:sz w:val="27"/>
        </w:rPr>
        <w:t>Formations proposées</w:t>
      </w:r>
    </w:p>
    <w:p>
      <w:pPr>
        <w:pStyle w:val="ListBullet"/>
        <w:spacing w:after="0"/>
      </w:pPr>
      <w:r>
        <w:rPr>
          <w:rFonts w:ascii="Aptos" w:hAnsi="Aptos"/>
          <w:b w:val="0"/>
          <w:i w:val="0"/>
          <w:color w:val="1C3963"/>
          <w:sz w:val="23"/>
        </w:rPr>
        <w:t>Assistant de réponse et FAQ métier pour centres de contact.</w:t>
      </w:r>
    </w:p>
    <w:p>
      <w:pPr>
        <w:pStyle w:val="ListBullet"/>
        <w:spacing w:after="0"/>
      </w:pPr>
      <w:r>
        <w:rPr>
          <w:rFonts w:ascii="Aptos" w:hAnsi="Aptos"/>
          <w:b w:val="0"/>
          <w:i w:val="0"/>
          <w:color w:val="1C3963"/>
          <w:sz w:val="23"/>
        </w:rPr>
        <w:t>Qualification et tri des demandes avec supervision humaine.</w:t>
      </w:r>
    </w:p>
    <w:p>
      <w:pPr>
        <w:pStyle w:val="ListBullet"/>
        <w:spacing w:after="0"/>
      </w:pPr>
      <w:r>
        <w:rPr>
          <w:rFonts w:ascii="Aptos" w:hAnsi="Aptos"/>
          <w:b w:val="0"/>
          <w:i w:val="0"/>
          <w:color w:val="1C3963"/>
          <w:sz w:val="23"/>
        </w:rPr>
        <w:t>Analyse des réclamations, verbatims et signaux faibles.</w:t>
      </w:r>
    </w:p>
    <w:p>
      <w:pPr>
        <w:pStyle w:val="ListBullet"/>
        <w:spacing w:after="0"/>
      </w:pPr>
      <w:r>
        <w:rPr>
          <w:rFonts w:ascii="Aptos" w:hAnsi="Aptos"/>
          <w:b w:val="0"/>
          <w:i w:val="0"/>
          <w:color w:val="1C3963"/>
          <w:sz w:val="23"/>
        </w:rPr>
        <w:t>Pilotage omnicanal, satisfaction et commentaires de performance.</w:t>
      </w:r>
    </w:p>
    <w:p>
      <w:pPr>
        <w:pStyle w:val="ListBullet"/>
        <w:spacing w:after="0"/>
      </w:pPr>
      <w:r>
        <w:rPr>
          <w:rFonts w:ascii="Aptos" w:hAnsi="Aptos"/>
          <w:b w:val="0"/>
          <w:i w:val="0"/>
          <w:color w:val="1C3963"/>
          <w:sz w:val="23"/>
        </w:rPr>
        <w:t>Cadre de confiance, gouvernance et supervision humaine des usages IA.</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03 - PROGRAMME PROPOSÉ</w:t>
      </w:r>
    </w:p>
    <w:p>
      <w:pPr>
        <w:keepNext/>
        <w:spacing w:before="100" w:after="60"/>
      </w:pPr>
      <w:r>
        <w:rPr>
          <w:rFonts w:ascii="Aptos Display" w:hAnsi="Aptos Display"/>
          <w:b/>
          <w:i w:val="0"/>
          <w:color w:val="1C3963"/>
          <w:sz w:val="30"/>
        </w:rPr>
        <w:t>Jour 1</w:t>
      </w:r>
    </w:p>
    <w:p>
      <w:pPr>
        <w:pStyle w:val="ListBullet"/>
        <w:spacing w:after="0"/>
      </w:pPr>
      <w:r>
        <w:rPr>
          <w:rFonts w:ascii="Aptos" w:hAnsi="Aptos"/>
          <w:b w:val="0"/>
          <w:i w:val="0"/>
          <w:color w:val="1C3963"/>
          <w:sz w:val="23"/>
        </w:rPr>
        <w:t>Lecture des enjeux service client, cartographie des irritants prioritaires et sélection des premiers gains visés.</w:t>
      </w:r>
    </w:p>
    <w:p>
      <w:pPr>
        <w:pStyle w:val="ListBullet"/>
        <w:spacing w:after="0"/>
      </w:pPr>
      <w:r>
        <w:rPr>
          <w:rFonts w:ascii="Aptos" w:hAnsi="Aptos"/>
          <w:b w:val="0"/>
          <w:i w:val="0"/>
          <w:color w:val="1C3963"/>
          <w:sz w:val="23"/>
        </w:rPr>
        <w:t>Études de cas guidées sur l’assistance à la réponse et la qualification des demandes.</w:t>
      </w:r>
    </w:p>
    <w:p>
      <w:pPr>
        <w:pStyle w:val="ListBullet"/>
        <w:spacing w:after="0"/>
      </w:pPr>
      <w:r>
        <w:rPr>
          <w:rFonts w:ascii="Aptos" w:hAnsi="Aptos"/>
          <w:b w:val="0"/>
          <w:i w:val="0"/>
          <w:color w:val="1C3963"/>
          <w:sz w:val="23"/>
        </w:rPr>
        <w:t>Méthodes, prompts, routines et gestes métier autour de la relation client augmentée par l’IA.</w:t>
      </w:r>
    </w:p>
    <w:p>
      <w:pPr>
        <w:pStyle w:val="ListBullet"/>
        <w:spacing w:after="0"/>
      </w:pPr>
      <w:r>
        <w:rPr>
          <w:rFonts w:ascii="Aptos" w:hAnsi="Aptos"/>
          <w:b w:val="0"/>
          <w:i w:val="0"/>
          <w:color w:val="1C3963"/>
          <w:sz w:val="23"/>
        </w:rPr>
        <w:t>Cadre de confiance : confidentialité, validation managériale, supervision humaine et critères d’extension.</w:t>
      </w:r>
    </w:p>
    <w:p>
      <w:pPr>
        <w:keepNext/>
        <w:spacing w:before="100" w:after="60"/>
      </w:pPr>
      <w:r>
        <w:rPr>
          <w:rFonts w:ascii="Aptos Display" w:hAnsi="Aptos Display"/>
          <w:b/>
          <w:i w:val="0"/>
          <w:color w:val="1C3963"/>
          <w:sz w:val="30"/>
        </w:rPr>
        <w:t>Jour 2</w:t>
      </w:r>
    </w:p>
    <w:p>
      <w:pPr>
        <w:pStyle w:val="ListBullet"/>
        <w:spacing w:after="0"/>
      </w:pPr>
      <w:r>
        <w:rPr>
          <w:rFonts w:ascii="Aptos" w:hAnsi="Aptos"/>
          <w:b w:val="0"/>
          <w:i w:val="0"/>
          <w:color w:val="1C3963"/>
          <w:sz w:val="23"/>
        </w:rPr>
        <w:t>Ateliers de conception sur les verbatims, la gestion des réclamations et le pilotage de la satisfaction.</w:t>
      </w:r>
    </w:p>
    <w:p>
      <w:pPr>
        <w:pStyle w:val="ListBullet"/>
        <w:spacing w:after="0"/>
      </w:pPr>
      <w:r>
        <w:rPr>
          <w:rFonts w:ascii="Aptos" w:hAnsi="Aptos"/>
          <w:b w:val="0"/>
          <w:i w:val="0"/>
          <w:color w:val="1C3963"/>
          <w:sz w:val="23"/>
        </w:rPr>
        <w:t>Construction d’un premier canevas de pilote, des KPI de suivi et des livrables attendus.</w:t>
      </w:r>
    </w:p>
    <w:p>
      <w:pPr>
        <w:pStyle w:val="ListBullet"/>
        <w:spacing w:after="0"/>
      </w:pPr>
      <w:r>
        <w:rPr>
          <w:rFonts w:ascii="Aptos" w:hAnsi="Aptos"/>
          <w:b w:val="0"/>
          <w:i w:val="0"/>
          <w:color w:val="1C3963"/>
          <w:sz w:val="23"/>
        </w:rPr>
        <w:t>Approfondissements recommandés : scripts omnicanaux, plans d’action qualité, routines de supervision.</w:t>
      </w:r>
    </w:p>
    <w:p>
      <w:pPr>
        <w:pStyle w:val="ListBullet"/>
        <w:spacing w:after="0"/>
      </w:pPr>
      <w:r>
        <w:rPr>
          <w:rFonts w:ascii="Aptos" w:hAnsi="Aptos"/>
          <w:b w:val="0"/>
          <w:i w:val="0"/>
          <w:color w:val="1C3963"/>
          <w:sz w:val="23"/>
        </w:rPr>
        <w:t>Plan d’action à 90 jours : gouvernance, équipes à former, priorités de déploiement et décision d’extension.</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04 - LIVRABLES ATTENDUS</w:t>
      </w:r>
    </w:p>
    <w:p>
      <w:pPr>
        <w:pStyle w:val="ListBullet"/>
        <w:spacing w:after="0"/>
      </w:pPr>
      <w:r>
        <w:rPr>
          <w:rFonts w:ascii="Aptos" w:hAnsi="Aptos"/>
          <w:b w:val="0"/>
          <w:i w:val="0"/>
          <w:color w:val="1C3963"/>
          <w:sz w:val="23"/>
        </w:rPr>
        <w:t>Une note de cadrage service client avec priorités confirmées, risques, points de vigilance et premières décisions.</w:t>
      </w:r>
    </w:p>
    <w:p>
      <w:pPr>
        <w:pStyle w:val="ListBullet"/>
        <w:spacing w:after="0"/>
      </w:pPr>
      <w:r>
        <w:rPr>
          <w:rFonts w:ascii="Aptos" w:hAnsi="Aptos"/>
          <w:b w:val="0"/>
          <w:i w:val="0"/>
          <w:color w:val="1C3963"/>
          <w:sz w:val="23"/>
        </w:rPr>
        <w:t>Une matrice des usages prioritaires applicable à la réponse, au tri des demandes, aux verbatims et au pilotage de service.</w:t>
      </w:r>
    </w:p>
    <w:p>
      <w:pPr>
        <w:pStyle w:val="ListBullet"/>
        <w:spacing w:after="0"/>
      </w:pPr>
      <w:r>
        <w:rPr>
          <w:rFonts w:ascii="Aptos" w:hAnsi="Aptos"/>
          <w:b w:val="0"/>
          <w:i w:val="0"/>
          <w:color w:val="1C3963"/>
          <w:sz w:val="23"/>
        </w:rPr>
        <w:t>Un canevas de pilote à 90 jours avec KPI, rôles, supervision et critères de succès.</w:t>
      </w:r>
    </w:p>
    <w:p>
      <w:pPr>
        <w:pStyle w:val="ListBullet"/>
        <w:spacing w:after="0"/>
      </w:pPr>
      <w:r>
        <w:rPr>
          <w:rFonts w:ascii="Aptos" w:hAnsi="Aptos"/>
          <w:b w:val="0"/>
          <w:i w:val="0"/>
          <w:color w:val="1C3963"/>
          <w:sz w:val="23"/>
        </w:rPr>
        <w:t>Une recommandation de parcours de montée en compétences pour les décideurs, managers et équipes support ciblées.</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05 - DOMAINES DE RÉFÉRENCE</w:t>
      </w:r>
    </w:p>
    <w:p>
      <w:pPr>
        <w:pStyle w:val="ListBullet"/>
        <w:spacing w:after="0"/>
      </w:pPr>
      <w:r>
        <w:rPr>
          <w:rFonts w:ascii="Aptos" w:hAnsi="Aptos"/>
          <w:b w:val="0"/>
          <w:i w:val="0"/>
          <w:color w:val="1C3963"/>
          <w:sz w:val="23"/>
        </w:rPr>
        <w:t>Centres de contact</w:t>
      </w:r>
    </w:p>
    <w:p>
      <w:pPr>
        <w:pStyle w:val="ListBullet"/>
        <w:spacing w:after="0"/>
      </w:pPr>
      <w:r>
        <w:rPr>
          <w:rFonts w:ascii="Aptos" w:hAnsi="Aptos"/>
          <w:b w:val="0"/>
          <w:i w:val="0"/>
          <w:color w:val="1C3963"/>
          <w:sz w:val="23"/>
        </w:rPr>
        <w:t>Support client</w:t>
      </w:r>
    </w:p>
    <w:p>
      <w:pPr>
        <w:pStyle w:val="ListBullet"/>
        <w:spacing w:after="0"/>
      </w:pPr>
      <w:r>
        <w:rPr>
          <w:rFonts w:ascii="Aptos" w:hAnsi="Aptos"/>
          <w:b w:val="0"/>
          <w:i w:val="0"/>
          <w:color w:val="1C3963"/>
          <w:sz w:val="23"/>
        </w:rPr>
        <w:t>Qualité de service</w:t>
      </w:r>
    </w:p>
    <w:p>
      <w:pPr>
        <w:pStyle w:val="ListBullet"/>
        <w:spacing w:after="0"/>
      </w:pPr>
      <w:r>
        <w:rPr>
          <w:rFonts w:ascii="Aptos" w:hAnsi="Aptos"/>
          <w:b w:val="0"/>
          <w:i w:val="0"/>
          <w:color w:val="1C3963"/>
          <w:sz w:val="23"/>
        </w:rPr>
        <w:t>Pilotage omnicanal</w:t>
      </w:r>
    </w:p>
    <w:p>
      <w:pPr>
        <w:pStyle w:val="ListBullet"/>
        <w:spacing w:after="0"/>
      </w:pPr>
      <w:r>
        <w:rPr>
          <w:rFonts w:ascii="Aptos" w:hAnsi="Aptos"/>
          <w:b w:val="0"/>
          <w:i w:val="0"/>
          <w:color w:val="1C3963"/>
          <w:sz w:val="23"/>
        </w:rPr>
        <w:t>Supervision et expérience client</w:t>
      </w:r>
    </w:p>
    <w:sectPr w:rsidR="00FC693F" w:rsidRPr="0006063C" w:rsidSect="00034616">
      <w:footerReference w:type="default" r:id="rId9"/>
      <w:pgSz w:w="11906" w:h="16838"/>
      <w:pgMar w:top="113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B7C93"/>
        <w:sz w:val="17"/>
      </w:rPr>
      <w:t>TransferAI Africa | www.transferai.ci | IA Assistant / WhatsApp : +225 07 16 57 39 90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