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juridiques et conformité</w:t>
      </w:r>
    </w:p>
    <w:p>
      <w:pPr>
        <w:spacing w:after="60"/>
      </w:pPr>
      <w:r>
        <w:rPr>
          <w:rFonts w:ascii="Aptos" w:hAnsi="Aptos"/>
          <w:b w:val="0"/>
          <w:i w:val="0"/>
          <w:color w:val="6B7C93"/>
          <w:sz w:val="25"/>
        </w:rPr>
        <w:t>Juridique · Conformité · Contentieux · Contrôle interne · Risques</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accélérer la recherche, la revue documentaire, la préparation des dossiers et la conformité, sans fragiliser le contrôle humain.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tâches de préparation les plus répétitives, structurer un cadre de confiance robuste et lancer un premier pilote mesurable autour de la veille, de l’analyse contractuelle, de la conformité documentaire ou de la préparation des comités.</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Recherche juridique et veille plus rapides avant revue experte.</w:t>
      </w:r>
    </w:p>
    <w:p>
      <w:pPr>
        <w:pStyle w:val="ListBullet"/>
        <w:spacing w:after="20"/>
      </w:pPr>
      <w:r>
        <w:rPr>
          <w:rFonts w:ascii="Aptos" w:hAnsi="Aptos"/>
          <w:b w:val="0"/>
          <w:i w:val="0"/>
          <w:color w:val="1C3963"/>
          <w:sz w:val="24"/>
        </w:rPr>
        <w:t>Revue de contrats et repérage d’écarts plus homogènes entre équipes.</w:t>
      </w:r>
    </w:p>
    <w:p>
      <w:pPr>
        <w:pStyle w:val="ListBullet"/>
        <w:spacing w:after="20"/>
      </w:pPr>
      <w:r>
        <w:rPr>
          <w:rFonts w:ascii="Aptos" w:hAnsi="Aptos"/>
          <w:b w:val="0"/>
          <w:i w:val="0"/>
          <w:color w:val="1C3963"/>
          <w:sz w:val="24"/>
        </w:rPr>
        <w:t>Notes, dossiers et synthèses préparatoires plus lisibles pour les décideurs.</w:t>
      </w:r>
    </w:p>
    <w:p>
      <w:pPr>
        <w:pStyle w:val="ListBullet"/>
        <w:spacing w:after="20"/>
      </w:pPr>
      <w:r>
        <w:rPr>
          <w:rFonts w:ascii="Aptos" w:hAnsi="Aptos"/>
          <w:b w:val="0"/>
          <w:i w:val="0"/>
          <w:color w:val="1C3963"/>
          <w:sz w:val="24"/>
        </w:rPr>
        <w:t>Cadre documentaire plus stable sur les sujets de conformité, données et procédures.</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JURIDIQUE &amp; CONFORMITÉ</w:t>
      </w:r>
    </w:p>
    <w:p>
      <w:pPr>
        <w:spacing w:after="60"/>
      </w:pPr>
      <w:r>
        <w:rPr>
          <w:rFonts w:ascii="Aptos" w:hAnsi="Aptos"/>
          <w:b w:val="0"/>
          <w:i w:val="0"/>
          <w:color w:val="1C3963"/>
          <w:sz w:val="25"/>
        </w:rPr>
        <w:t>Dans le juridique et la conformité, la valeur de l’IA ne réside pas dans une automatisation aveugle du jugement. Elle se mesure plutôt dans la vitesse de préparation, la qualité des synthèses, la cohérence des revues et la traçabilité du travail avant validation humaine.</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Recherche et veille encore longues sur les textes, clauses, repères sectoriels et jurisprudences utiles.</w:t>
      </w:r>
    </w:p>
    <w:p>
      <w:pPr>
        <w:pStyle w:val="ListBullet"/>
        <w:spacing w:after="20"/>
      </w:pPr>
      <w:r>
        <w:rPr>
          <w:rFonts w:ascii="Aptos" w:hAnsi="Aptos"/>
          <w:b w:val="0"/>
          <w:i w:val="0"/>
          <w:color w:val="1C3963"/>
          <w:sz w:val="25"/>
        </w:rPr>
        <w:t>Analyse contractuelle répétitive sur des points récurrents, malgré des motifs connus.</w:t>
      </w:r>
    </w:p>
    <w:p>
      <w:pPr>
        <w:pStyle w:val="ListBullet"/>
        <w:spacing w:after="20"/>
      </w:pPr>
      <w:r>
        <w:rPr>
          <w:rFonts w:ascii="Aptos" w:hAnsi="Aptos"/>
          <w:b w:val="0"/>
          <w:i w:val="0"/>
          <w:color w:val="1C3963"/>
          <w:sz w:val="25"/>
        </w:rPr>
        <w:t>Réponses et procédures de conformité encore peu homogènes selon les équipes et les dossiers.</w:t>
      </w:r>
    </w:p>
    <w:p>
      <w:pPr>
        <w:pStyle w:val="ListBullet"/>
        <w:spacing w:after="20"/>
      </w:pPr>
      <w:r>
        <w:rPr>
          <w:rFonts w:ascii="Aptos" w:hAnsi="Aptos"/>
          <w:b w:val="0"/>
          <w:i w:val="0"/>
          <w:color w:val="1C3963"/>
          <w:sz w:val="25"/>
        </w:rPr>
        <w:t>Préparation de comités, contentieux ou due diligence encore lourde en collecte et reformulation.</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de préparation d’une note juridique et délai de réponse interne.</w:t>
      </w:r>
    </w:p>
    <w:p>
      <w:pPr>
        <w:pStyle w:val="ListBullet"/>
        <w:spacing w:after="20"/>
      </w:pPr>
      <w:r>
        <w:rPr>
          <w:rFonts w:ascii="Aptos" w:hAnsi="Aptos"/>
          <w:b w:val="0"/>
          <w:i w:val="0"/>
          <w:color w:val="1C3963"/>
          <w:sz w:val="25"/>
        </w:rPr>
        <w:t>Temps de revue contractuelle et nombre d’écarts repérés plus tôt.</w:t>
      </w:r>
    </w:p>
    <w:p>
      <w:pPr>
        <w:pStyle w:val="ListBullet"/>
        <w:spacing w:after="20"/>
      </w:pPr>
      <w:r>
        <w:rPr>
          <w:rFonts w:ascii="Aptos" w:hAnsi="Aptos"/>
          <w:b w:val="0"/>
          <w:i w:val="0"/>
          <w:color w:val="1C3963"/>
          <w:sz w:val="25"/>
        </w:rPr>
        <w:t>Temps de réponse sur conformité, données et procédures.</w:t>
      </w:r>
    </w:p>
    <w:p>
      <w:pPr>
        <w:pStyle w:val="ListBullet"/>
        <w:spacing w:after="20"/>
      </w:pPr>
      <w:r>
        <w:rPr>
          <w:rFonts w:ascii="Aptos" w:hAnsi="Aptos"/>
          <w:b w:val="0"/>
          <w:i w:val="0"/>
          <w:color w:val="1C3963"/>
          <w:sz w:val="25"/>
        </w:rPr>
        <w:t>Temps de préparation de dossier et délai avant comité.</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processus prioritaires, bootcamp ciblé pour décideurs et équipes juridiques, puis accompagnement sur 90 jours avec KPI simples, supervision humaine et décision d’extension.</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Préparation documentaire plus rapide sur la veille, la revue et la synthèse.</w:t>
      </w:r>
    </w:p>
    <w:p>
      <w:pPr>
        <w:pStyle w:val="ListBullet"/>
        <w:spacing w:after="20"/>
      </w:pPr>
      <w:r>
        <w:rPr>
          <w:rFonts w:ascii="Aptos" w:hAnsi="Aptos"/>
          <w:b w:val="0"/>
          <w:i w:val="0"/>
          <w:color w:val="1C3963"/>
          <w:sz w:val="25"/>
        </w:rPr>
        <w:t>Analyse contractuelle plus cohérente grâce à des trames, checklists et routines encadrées.</w:t>
      </w:r>
    </w:p>
    <w:p>
      <w:pPr>
        <w:pStyle w:val="ListBullet"/>
        <w:spacing w:after="20"/>
      </w:pPr>
      <w:r>
        <w:rPr>
          <w:rFonts w:ascii="Aptos" w:hAnsi="Aptos"/>
          <w:b w:val="0"/>
          <w:i w:val="0"/>
          <w:color w:val="1C3963"/>
          <w:sz w:val="25"/>
        </w:rPr>
        <w:t>Conformité plus lisible sur les données, les procédures et les obligations internes.</w:t>
      </w:r>
    </w:p>
    <w:p>
      <w:pPr>
        <w:pStyle w:val="ListBullet"/>
        <w:spacing w:after="20"/>
      </w:pPr>
      <w:r>
        <w:rPr>
          <w:rFonts w:ascii="Aptos" w:hAnsi="Aptos"/>
          <w:b w:val="0"/>
          <w:i w:val="0"/>
          <w:color w:val="1C3963"/>
          <w:sz w:val="25"/>
        </w:rPr>
        <w:t>Première feuille de route sur les usages IA à lancer en juridique et conformité.</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Juridique &amp; Conformité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Directions juridiques, conformité, secrétariat général, audit, risques.</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dans le juridique et la conformité.</w:t>
      </w:r>
    </w:p>
    <w:p>
      <w:pPr>
        <w:pStyle w:val="ListBullet"/>
        <w:spacing w:after="0"/>
      </w:pPr>
      <w:r>
        <w:rPr>
          <w:rFonts w:ascii="Aptos" w:hAnsi="Aptos"/>
          <w:b w:val="0"/>
          <w:i w:val="0"/>
          <w:color w:val="1C3963"/>
          <w:sz w:val="23"/>
        </w:rPr>
        <w:t>Structurer les usages liés à la recherche, à la revue contractuelle, à la conformité documentaire et à la préparation des dossiers.</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Recherche juridique assistée par l’IA.</w:t>
      </w:r>
    </w:p>
    <w:p>
      <w:pPr>
        <w:pStyle w:val="ListBullet"/>
        <w:spacing w:after="0"/>
      </w:pPr>
      <w:r>
        <w:rPr>
          <w:rFonts w:ascii="Aptos" w:hAnsi="Aptos"/>
          <w:b w:val="0"/>
          <w:i w:val="0"/>
          <w:color w:val="1C3963"/>
          <w:sz w:val="23"/>
        </w:rPr>
        <w:t>Analyse de contrats et repérage d’écarts.</w:t>
      </w:r>
    </w:p>
    <w:p>
      <w:pPr>
        <w:pStyle w:val="ListBullet"/>
        <w:spacing w:after="0"/>
      </w:pPr>
      <w:r>
        <w:rPr>
          <w:rFonts w:ascii="Aptos" w:hAnsi="Aptos"/>
          <w:b w:val="0"/>
          <w:i w:val="0"/>
          <w:color w:val="1C3963"/>
          <w:sz w:val="23"/>
        </w:rPr>
        <w:t>Rédaction juridique et synthèses préparatoires assistées.</w:t>
      </w:r>
    </w:p>
    <w:p>
      <w:pPr>
        <w:pStyle w:val="ListBullet"/>
        <w:spacing w:after="0"/>
      </w:pPr>
      <w:r>
        <w:rPr>
          <w:rFonts w:ascii="Aptos" w:hAnsi="Aptos"/>
          <w:b w:val="0"/>
          <w:i w:val="0"/>
          <w:color w:val="1C3963"/>
          <w:sz w:val="23"/>
        </w:rPr>
        <w:t>Conformité des données, procédures et obligations internes.</w:t>
      </w:r>
    </w:p>
    <w:p>
      <w:pPr>
        <w:pStyle w:val="ListBullet"/>
        <w:spacing w:after="0"/>
      </w:pPr>
      <w:r>
        <w:rPr>
          <w:rFonts w:ascii="Aptos" w:hAnsi="Aptos"/>
          <w:b w:val="0"/>
          <w:i w:val="0"/>
          <w:color w:val="1C3963"/>
          <w:sz w:val="23"/>
        </w:rPr>
        <w:t>Cadre de confiance, gouvernance et supervision humaine des usages 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du juridique et de la conformité, cartographie des irritants prioritaires et sélection des premiers gains visés.</w:t>
      </w:r>
    </w:p>
    <w:p>
      <w:pPr>
        <w:pStyle w:val="ListBullet"/>
        <w:spacing w:after="0"/>
      </w:pPr>
      <w:r>
        <w:rPr>
          <w:rFonts w:ascii="Aptos" w:hAnsi="Aptos"/>
          <w:b w:val="0"/>
          <w:i w:val="0"/>
          <w:color w:val="1C3963"/>
          <w:sz w:val="23"/>
        </w:rPr>
        <w:t>Études de cas guidées sur la recherche juridique assistée et l’analyse de contrats.</w:t>
      </w:r>
    </w:p>
    <w:p>
      <w:pPr>
        <w:pStyle w:val="ListBullet"/>
        <w:spacing w:after="0"/>
      </w:pPr>
      <w:r>
        <w:rPr>
          <w:rFonts w:ascii="Aptos" w:hAnsi="Aptos"/>
          <w:b w:val="0"/>
          <w:i w:val="0"/>
          <w:color w:val="1C3963"/>
          <w:sz w:val="23"/>
        </w:rPr>
        <w:t>Méthodes, prompts, routines et gestes métier autour des synthèses, notes et revues documentaires.</w:t>
      </w:r>
    </w:p>
    <w:p>
      <w:pPr>
        <w:pStyle w:val="ListBullet"/>
        <w:spacing w:after="0"/>
      </w:pPr>
      <w:r>
        <w:rPr>
          <w:rFonts w:ascii="Aptos" w:hAnsi="Aptos"/>
          <w:b w:val="0"/>
          <w:i w:val="0"/>
          <w:color w:val="1C3963"/>
          <w:sz w:val="23"/>
        </w:rPr>
        <w:t>Cadre de confiance : confidentialité, validation experte, traçabilité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la conformité documentaire, la préparation des dossiers et les routines de revue.</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données personnelles, anti-blanchiment, due diligence et comités.</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juridique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à la recherche, aux contrats, à la conformité documentaire et à la préparation des dossiers.</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et équipes juridiques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Recherche juridique et veille réglementaire</w:t>
      </w:r>
    </w:p>
    <w:p>
      <w:pPr>
        <w:pStyle w:val="ListBullet"/>
        <w:spacing w:after="0"/>
      </w:pPr>
      <w:r>
        <w:rPr>
          <w:rFonts w:ascii="Aptos" w:hAnsi="Aptos"/>
          <w:b w:val="0"/>
          <w:i w:val="0"/>
          <w:color w:val="1C3963"/>
          <w:sz w:val="23"/>
        </w:rPr>
        <w:t>Analyse contractuelle et clauses sensibles</w:t>
      </w:r>
    </w:p>
    <w:p>
      <w:pPr>
        <w:pStyle w:val="ListBullet"/>
        <w:spacing w:after="0"/>
      </w:pPr>
      <w:r>
        <w:rPr>
          <w:rFonts w:ascii="Aptos" w:hAnsi="Aptos"/>
          <w:b w:val="0"/>
          <w:i w:val="0"/>
          <w:color w:val="1C3963"/>
          <w:sz w:val="23"/>
        </w:rPr>
        <w:t>Conformité documentaire et procédures internes</w:t>
      </w:r>
    </w:p>
    <w:p>
      <w:pPr>
        <w:pStyle w:val="ListBullet"/>
        <w:spacing w:after="0"/>
      </w:pPr>
      <w:r>
        <w:rPr>
          <w:rFonts w:ascii="Aptos" w:hAnsi="Aptos"/>
          <w:b w:val="0"/>
          <w:i w:val="0"/>
          <w:color w:val="1C3963"/>
          <w:sz w:val="23"/>
        </w:rPr>
        <w:t>Protection des données et obligations réglementaires</w:t>
      </w:r>
    </w:p>
    <w:p>
      <w:pPr>
        <w:pStyle w:val="ListBullet"/>
        <w:spacing w:after="0"/>
      </w:pPr>
      <w:r>
        <w:rPr>
          <w:rFonts w:ascii="Aptos" w:hAnsi="Aptos"/>
          <w:b w:val="0"/>
          <w:i w:val="0"/>
          <w:color w:val="1C3963"/>
          <w:sz w:val="23"/>
        </w:rPr>
        <w:t>Préparation des comités, contentieux et due diligence</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