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jc w:val="right"/>
      </w:pPr>
      <w:r>
        <w:rPr>
          <w:rFonts w:ascii="Aptos" w:hAnsi="Aptos"/>
          <w:b w:val="0"/>
          <w:i w:val="0"/>
          <w:color w:val="6B7C93"/>
          <w:sz w:val="23"/>
        </w:rPr>
        <w:t>Mini-catalogue sectoriel | IA métier, formation et accompagnement</w:t>
      </w:r>
    </w:p>
    <w:p>
      <w:pPr>
        <w:spacing w:after="0"/>
      </w:pPr>
      <w:r>
        <w:rPr>
          <w:rFonts w:ascii="Aptos Display" w:hAnsi="Aptos Display"/>
          <w:b/>
          <w:i w:val="0"/>
          <w:color w:val="EF6C12"/>
          <w:sz w:val="36"/>
        </w:rPr>
        <w:t>MINI-CATALOGUE</w:t>
      </w:r>
    </w:p>
    <w:p>
      <w:pPr>
        <w:spacing w:after="40"/>
      </w:pPr>
      <w:r>
        <w:rPr>
          <w:rFonts w:ascii="Aptos Display" w:hAnsi="Aptos Display"/>
          <w:b/>
          <w:i w:val="0"/>
          <w:color w:val="1C3963"/>
          <w:sz w:val="52"/>
        </w:rPr>
        <w:t>SOLUTIONS IA ET FORMATIONS STRATÉGIQUES</w:t>
      </w:r>
    </w:p>
    <w:p>
      <w:pPr>
        <w:spacing w:after="320"/>
      </w:pPr>
      <w:r>
        <w:rPr>
          <w:rFonts w:ascii="Aptos Display" w:hAnsi="Aptos Display"/>
          <w:b/>
          <w:i w:val="0"/>
          <w:color w:val="1C8A78"/>
          <w:sz w:val="38"/>
        </w:rPr>
        <w:t>pour les directions transport, logistique et opérations</w:t>
      </w:r>
    </w:p>
    <w:p>
      <w:pPr>
        <w:spacing w:after="60"/>
      </w:pPr>
      <w:r>
        <w:rPr>
          <w:rFonts w:ascii="Aptos" w:hAnsi="Aptos"/>
          <w:b w:val="0"/>
          <w:i w:val="0"/>
          <w:color w:val="6B7C93"/>
          <w:sz w:val="25"/>
        </w:rPr>
        <w:t>Exploitation · Supply chain · Flotte · Hubs · Service client · Direction opérations</w:t>
      </w:r>
    </w:p>
    <w:p>
      <w:pPr>
        <w:spacing w:after="60"/>
      </w:pPr>
      <w:r>
        <w:rPr>
          <w:rFonts w:ascii="Aptos" w:hAnsi="Aptos"/>
          <w:b w:val="0"/>
          <w:i w:val="0"/>
          <w:color w:val="6B7C93"/>
          <w:sz w:val="25"/>
        </w:rPr>
        <w:t>Document de présentation sectoriel | Présentiel · Hybride · En ligne</w:t>
      </w:r>
    </w:p>
    <w:p>
      <w:pPr>
        <w:keepNext/>
        <w:pageBreakBefore w:val="0"/>
        <w:spacing w:before="200" w:after="60"/>
      </w:pPr>
      <w:r>
        <w:rPr>
          <w:rFonts w:ascii="Aptos" w:hAnsi="Aptos"/>
          <w:b/>
          <w:i w:val="0"/>
          <w:color w:val="EF6C12"/>
          <w:sz w:val="36"/>
        </w:rPr>
        <w:t xml:space="preserve">▌ </w:t>
      </w:r>
      <w:r>
        <w:rPr>
          <w:rFonts w:ascii="Aptos Display" w:hAnsi="Aptos Display"/>
          <w:b/>
          <w:i w:val="0"/>
          <w:color w:val="1C3963"/>
          <w:sz w:val="39"/>
        </w:rPr>
        <w:t>PROMESSE CENTRALE</w:t>
      </w:r>
    </w:p>
    <w:p>
      <w:pPr>
        <w:spacing w:after="60"/>
      </w:pPr>
      <w:r>
        <w:rPr>
          <w:rFonts w:ascii="Aptos" w:hAnsi="Aptos"/>
          <w:b w:val="0"/>
          <w:i w:val="0"/>
          <w:color w:val="1C3963"/>
          <w:sz w:val="26"/>
        </w:rPr>
        <w:t>Transformer l’IA en usages concrets, activables et gouvernés pour améliorer la coordination terrain, réduire les retards, mieux lire les anomalies et renforcer la qualité de service en environnement distribué.</w:t>
      </w:r>
    </w:p>
    <w:p>
      <w:pPr>
        <w:keepNext/>
        <w:pageBreakBefore w:val="0"/>
        <w:spacing w:before="160" w:after="60"/>
      </w:pPr>
      <w:r>
        <w:rPr>
          <w:rFonts w:ascii="Aptos" w:hAnsi="Aptos"/>
          <w:b/>
          <w:i w:val="0"/>
          <w:color w:val="EF6C12"/>
          <w:sz w:val="36"/>
        </w:rPr>
        <w:t xml:space="preserve">▌ </w:t>
      </w:r>
      <w:r>
        <w:rPr>
          <w:rFonts w:ascii="Aptos Display" w:hAnsi="Aptos Display"/>
          <w:b/>
          <w:i w:val="0"/>
          <w:color w:val="1C3963"/>
          <w:sz w:val="39"/>
        </w:rPr>
        <w:t>POSITIONNEMENT DE L’OFFRE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866"/>
      </w:tblGrid>
      <w:tr>
        <w:tc>
          <w:tcPr>
            <w:tcW w:type="dxa" w:w="9354"/>
            <w:vAlign w:val="center"/>
            <w:shd w:fill="F8F3EC"/>
            <w:tcBorders>
              <w:top w:val="single" w:sz="8" w:color="F1A56E"/>
              <w:left w:val="single" w:sz="8" w:color="F1A56E"/>
              <w:bottom w:val="single" w:sz="8" w:color="F1A56E"/>
              <w:right w:val="single" w:sz="8" w:color="F1A56E"/>
            </w:tcBorders>
          </w:tcPr>
          <w:p>
            <w:pPr>
              <w:spacing w:after="60"/>
            </w:pPr>
            <w:r>
              <w:rPr>
                <w:rFonts w:ascii="Aptos Display" w:hAnsi="Aptos Display"/>
                <w:b/>
                <w:i w:val="0"/>
                <w:color w:val="1C3963"/>
                <w:sz w:val="32"/>
              </w:rPr>
              <w:t>Proposition ciblée</w:t>
            </w:r>
          </w:p>
          <w:p>
            <w:pPr>
              <w:spacing w:after="0"/>
            </w:pPr>
            <w:r>
              <w:rPr>
                <w:rFonts w:ascii="Aptos" w:hAnsi="Aptos"/>
                <w:b w:val="0"/>
                <w:i w:val="0"/>
                <w:color w:val="1C3963"/>
                <w:sz w:val="25"/>
              </w:rPr>
              <w:t>TransferAI propose une trajectoire simple et pilotable : identifier les flux les plus sensibles, renforcer la lecture opérationnelle des incidents et lancer un premier pilote mesurable autour du cockpit d’exploitation, du suivi d’anomalies, de l’interface service client ou de la maintenance assistée.</w:t>
            </w:r>
          </w:p>
        </w:tc>
      </w:tr>
    </w:tbl>
    <w:p>
      <w:pPr>
        <w:keepNext/>
        <w:pageBreakBefore w:val="0"/>
        <w:spacing w:before="160" w:after="60"/>
      </w:pPr>
      <w:r>
        <w:rPr>
          <w:rFonts w:ascii="Aptos" w:hAnsi="Aptos"/>
          <w:b/>
          <w:i w:val="0"/>
          <w:color w:val="EF6C12"/>
          <w:sz w:val="36"/>
        </w:rPr>
        <w:t xml:space="preserve">▌ </w:t>
      </w:r>
      <w:r>
        <w:rPr>
          <w:rFonts w:ascii="Aptos Display" w:hAnsi="Aptos Display"/>
          <w:b/>
          <w:i w:val="0"/>
          <w:color w:val="1C3963"/>
          <w:sz w:val="39"/>
        </w:rPr>
        <w:t>BÉNÉFICES MÉTIER VISIBLES</w:t>
      </w:r>
    </w:p>
    <w:p>
      <w:pPr>
        <w:pStyle w:val="ListBullet"/>
        <w:spacing w:after="20"/>
      </w:pPr>
      <w:r>
        <w:rPr>
          <w:rFonts w:ascii="Aptos" w:hAnsi="Aptos"/>
          <w:b w:val="0"/>
          <w:i w:val="0"/>
          <w:color w:val="1C3963"/>
          <w:sz w:val="24"/>
        </w:rPr>
        <w:t>Lecture plus rapide des flux, retards et incidents pour l’exploitation.</w:t>
      </w:r>
    </w:p>
    <w:p>
      <w:pPr>
        <w:pStyle w:val="ListBullet"/>
        <w:spacing w:after="20"/>
      </w:pPr>
      <w:r>
        <w:rPr>
          <w:rFonts w:ascii="Aptos" w:hAnsi="Aptos"/>
          <w:b w:val="0"/>
          <w:i w:val="0"/>
          <w:color w:val="1C3963"/>
          <w:sz w:val="24"/>
        </w:rPr>
        <w:t>Meilleure coordination entre terrain, management et relation client.</w:t>
      </w:r>
    </w:p>
    <w:p>
      <w:pPr>
        <w:pStyle w:val="ListBullet"/>
        <w:spacing w:after="20"/>
      </w:pPr>
      <w:r>
        <w:rPr>
          <w:rFonts w:ascii="Aptos" w:hAnsi="Aptos"/>
          <w:b w:val="0"/>
          <w:i w:val="0"/>
          <w:color w:val="1C3963"/>
          <w:sz w:val="24"/>
        </w:rPr>
        <w:t>KPI plus commentés, plus lisibles et plus utiles aux arbitrages quotidiens.</w:t>
      </w:r>
    </w:p>
    <w:p>
      <w:pPr>
        <w:pStyle w:val="ListBullet"/>
        <w:spacing w:after="20"/>
      </w:pPr>
      <w:r>
        <w:rPr>
          <w:rFonts w:ascii="Aptos" w:hAnsi="Aptos"/>
          <w:b w:val="0"/>
          <w:i w:val="0"/>
          <w:color w:val="1C3963"/>
          <w:sz w:val="24"/>
        </w:rPr>
        <w:t>Réponses client plus homogènes en cas de perturbation ou d’anomalie.</w:t>
      </w:r>
    </w:p>
    <w:p>
      <w:pPr>
        <w:keepNext/>
        <w:pageBreakBefore/>
        <w:spacing w:before="0" w:after="60"/>
      </w:pPr>
      <w:r>
        <w:rPr>
          <w:rFonts w:ascii="Aptos" w:hAnsi="Aptos"/>
          <w:b/>
          <w:i w:val="0"/>
          <w:color w:val="EF6C12"/>
          <w:sz w:val="36"/>
        </w:rPr>
        <w:t xml:space="preserve">▌ </w:t>
      </w:r>
      <w:r>
        <w:rPr>
          <w:rFonts w:ascii="Aptos Display" w:hAnsi="Aptos Display"/>
          <w:b/>
          <w:i w:val="0"/>
          <w:color w:val="1C3963"/>
          <w:sz w:val="39"/>
        </w:rPr>
        <w:t>01 - SYNTHÈSE EXÉCUTIVE TRANSPORT &amp; LOGISTIQUE</w:t>
      </w:r>
    </w:p>
    <w:p>
      <w:pPr>
        <w:spacing w:after="60"/>
      </w:pPr>
      <w:r>
        <w:rPr>
          <w:rFonts w:ascii="Aptos" w:hAnsi="Aptos"/>
          <w:b w:val="0"/>
          <w:i w:val="0"/>
          <w:color w:val="1C3963"/>
          <w:sz w:val="25"/>
        </w:rPr>
        <w:t>Dans le transport et la logistique, la valeur de l’IA se lit dans la rapidité de coordination, la lecture plus fine des retards, la qualité du pilotage opérationnel et la capacité à relier exploitation, maintenance et service client autour d’une information plus fiable.</w:t>
      </w:r>
    </w:p>
    <w:p>
      <w:pPr>
        <w:keepNext/>
        <w:spacing w:before="100" w:after="60"/>
      </w:pPr>
      <w:r>
        <w:rPr>
          <w:rFonts w:ascii="Aptos Display" w:hAnsi="Aptos Display"/>
          <w:b/>
          <w:i w:val="0"/>
          <w:color w:val="1C3963"/>
          <w:sz w:val="30"/>
        </w:rPr>
        <w:t>Priorités métier les plus crédibles</w:t>
      </w:r>
    </w:p>
    <w:p>
      <w:pPr>
        <w:pStyle w:val="ListBullet"/>
        <w:spacing w:after="20"/>
      </w:pPr>
      <w:r>
        <w:rPr>
          <w:rFonts w:ascii="Aptos" w:hAnsi="Aptos"/>
          <w:b w:val="0"/>
          <w:i w:val="0"/>
          <w:color w:val="1C3963"/>
          <w:sz w:val="25"/>
        </w:rPr>
        <w:t>Informations terrain encore dispersées entre plusieurs canaux, équipes et outils.</w:t>
      </w:r>
    </w:p>
    <w:p>
      <w:pPr>
        <w:pStyle w:val="ListBullet"/>
        <w:spacing w:after="20"/>
      </w:pPr>
      <w:r>
        <w:rPr>
          <w:rFonts w:ascii="Aptos" w:hAnsi="Aptos"/>
          <w:b w:val="0"/>
          <w:i w:val="0"/>
          <w:color w:val="1C3963"/>
          <w:sz w:val="25"/>
        </w:rPr>
        <w:t>Pilotage des flux encore peu commenté malgré des KPI déjà disponibles.</w:t>
      </w:r>
    </w:p>
    <w:p>
      <w:pPr>
        <w:pStyle w:val="ListBullet"/>
        <w:spacing w:after="20"/>
      </w:pPr>
      <w:r>
        <w:rPr>
          <w:rFonts w:ascii="Aptos" w:hAnsi="Aptos"/>
          <w:b w:val="0"/>
          <w:i w:val="0"/>
          <w:color w:val="1C3963"/>
          <w:sz w:val="25"/>
        </w:rPr>
        <w:t>Opérations et service client encore trop séparés en cas de retard ou d’incident.</w:t>
      </w:r>
    </w:p>
    <w:p>
      <w:pPr>
        <w:pStyle w:val="ListBullet"/>
        <w:spacing w:after="20"/>
      </w:pPr>
      <w:r>
        <w:rPr>
          <w:rFonts w:ascii="Aptos" w:hAnsi="Aptos"/>
          <w:b w:val="0"/>
          <w:i w:val="0"/>
          <w:color w:val="1C3963"/>
          <w:sz w:val="25"/>
        </w:rPr>
        <w:t>Maintenance et anomalies encore traitées trop tard faute de lecture consolidée.</w:t>
      </w:r>
    </w:p>
    <w:p>
      <w:pPr>
        <w:keepNext/>
        <w:spacing w:before="100" w:after="60"/>
      </w:pPr>
      <w:r>
        <w:rPr>
          <w:rFonts w:ascii="Aptos Display" w:hAnsi="Aptos Display"/>
          <w:b/>
          <w:i w:val="0"/>
          <w:color w:val="1C3963"/>
          <w:sz w:val="30"/>
        </w:rPr>
        <w:t>KPI de référence</w:t>
      </w:r>
    </w:p>
    <w:p>
      <w:pPr>
        <w:pStyle w:val="ListBullet"/>
        <w:spacing w:after="20"/>
      </w:pPr>
      <w:r>
        <w:rPr>
          <w:rFonts w:ascii="Aptos" w:hAnsi="Aptos"/>
          <w:b w:val="0"/>
          <w:i w:val="0"/>
          <w:color w:val="1C3963"/>
          <w:sz w:val="25"/>
        </w:rPr>
        <w:t>Temps de lecture des incidents et réactivité de coordination.</w:t>
      </w:r>
    </w:p>
    <w:p>
      <w:pPr>
        <w:pStyle w:val="ListBullet"/>
        <w:spacing w:after="20"/>
      </w:pPr>
      <w:r>
        <w:rPr>
          <w:rFonts w:ascii="Aptos" w:hAnsi="Aptos"/>
          <w:b w:val="0"/>
          <w:i w:val="0"/>
          <w:color w:val="1C3963"/>
          <w:sz w:val="25"/>
        </w:rPr>
        <w:t>Temps de détection et nombre d’anomalies qualifiées plus tôt.</w:t>
      </w:r>
    </w:p>
    <w:p>
      <w:pPr>
        <w:pStyle w:val="ListBullet"/>
        <w:spacing w:after="20"/>
      </w:pPr>
      <w:r>
        <w:rPr>
          <w:rFonts w:ascii="Aptos" w:hAnsi="Aptos"/>
          <w:b w:val="0"/>
          <w:i w:val="0"/>
          <w:color w:val="1C3963"/>
          <w:sz w:val="25"/>
        </w:rPr>
        <w:t>Temps de réponse client et taux de résolution au premier contact.</w:t>
      </w:r>
    </w:p>
    <w:p>
      <w:pPr>
        <w:pStyle w:val="ListBullet"/>
        <w:spacing w:after="20"/>
      </w:pPr>
      <w:r>
        <w:rPr>
          <w:rFonts w:ascii="Aptos" w:hAnsi="Aptos"/>
          <w:b w:val="0"/>
          <w:i w:val="0"/>
          <w:color w:val="1C3963"/>
          <w:sz w:val="25"/>
        </w:rPr>
        <w:t>Délai d’escalade et temps d’immobilisation évité.</w:t>
      </w:r>
    </w:p>
    <w:p>
      <w:pPr>
        <w:keepNext/>
        <w:spacing w:before="100" w:after="60"/>
      </w:pPr>
      <w:r>
        <w:rPr>
          <w:rFonts w:ascii="Aptos Display" w:hAnsi="Aptos Display"/>
          <w:b/>
          <w:i w:val="0"/>
          <w:color w:val="1C3963"/>
          <w:sz w:val="30"/>
        </w:rPr>
        <w:t>Approche recommandée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866"/>
      </w:tblGrid>
      <w:tr>
        <w:tc>
          <w:tcPr>
            <w:tcW w:type="dxa" w:w="9354"/>
            <w:vAlign w:val="center"/>
            <w:shd w:fill="F8F3EC"/>
            <w:tcBorders>
              <w:top w:val="single" w:sz="8" w:color="F1A56E"/>
              <w:left w:val="single" w:sz="8" w:color="F1A56E"/>
              <w:bottom w:val="single" w:sz="8" w:color="F1A56E"/>
              <w:right w:val="single" w:sz="8" w:color="F1A56E"/>
            </w:tcBorders>
          </w:tcPr>
          <w:p>
            <w:pPr>
              <w:spacing w:after="60"/>
            </w:pPr>
            <w:r>
              <w:rPr>
                <w:rFonts w:ascii="Aptos Display" w:hAnsi="Aptos Display"/>
                <w:b/>
                <w:i w:val="0"/>
                <w:color w:val="1C3963"/>
                <w:sz w:val="32"/>
              </w:rPr>
              <w:t>Séquence recommandée</w:t>
            </w:r>
          </w:p>
          <w:p>
            <w:pPr>
              <w:spacing w:after="0"/>
            </w:pPr>
            <w:r>
              <w:rPr>
                <w:rFonts w:ascii="Aptos" w:hAnsi="Aptos"/>
                <w:b w:val="0"/>
                <w:i w:val="0"/>
                <w:color w:val="1C3963"/>
                <w:sz w:val="25"/>
              </w:rPr>
              <w:t>Audit IA gratuit, cadrage de deux processus prioritaires, bootcamp ciblé pour décideurs et équipes opérations, puis accompagnement sur 90 jours avec KPI simples, supervision humaine et décision d’extension.</w:t>
            </w:r>
          </w:p>
        </w:tc>
      </w:tr>
    </w:tbl>
    <w:p>
      <w:pPr>
        <w:keepNext/>
        <w:spacing w:before="100" w:after="60"/>
      </w:pPr>
      <w:r>
        <w:rPr>
          <w:rFonts w:ascii="Aptos Display" w:hAnsi="Aptos Display"/>
          <w:b/>
          <w:i w:val="0"/>
          <w:color w:val="1C3963"/>
          <w:sz w:val="30"/>
        </w:rPr>
        <w:t>Résultats attendus</w:t>
      </w:r>
    </w:p>
    <w:p>
      <w:pPr>
        <w:pStyle w:val="ListBullet"/>
        <w:spacing w:after="20"/>
      </w:pPr>
      <w:r>
        <w:rPr>
          <w:rFonts w:ascii="Aptos" w:hAnsi="Aptos"/>
          <w:b w:val="0"/>
          <w:i w:val="0"/>
          <w:color w:val="1C3963"/>
          <w:sz w:val="25"/>
        </w:rPr>
        <w:t>Moins de retards subis grâce à une meilleure lecture des points de friction.</w:t>
      </w:r>
    </w:p>
    <w:p>
      <w:pPr>
        <w:pStyle w:val="ListBullet"/>
        <w:spacing w:after="20"/>
      </w:pPr>
      <w:r>
        <w:rPr>
          <w:rFonts w:ascii="Aptos" w:hAnsi="Aptos"/>
          <w:b w:val="0"/>
          <w:i w:val="0"/>
          <w:color w:val="1C3963"/>
          <w:sz w:val="25"/>
        </w:rPr>
        <w:t>Coordination plus rapide entre le terrain et les managers.</w:t>
      </w:r>
    </w:p>
    <w:p>
      <w:pPr>
        <w:pStyle w:val="ListBullet"/>
        <w:spacing w:after="20"/>
      </w:pPr>
      <w:r>
        <w:rPr>
          <w:rFonts w:ascii="Aptos" w:hAnsi="Aptos"/>
          <w:b w:val="0"/>
          <w:i w:val="0"/>
          <w:color w:val="1C3963"/>
          <w:sz w:val="25"/>
        </w:rPr>
        <w:t>Service plus homogène côté client grâce à une information plus claire en cas d’incident.</w:t>
      </w:r>
    </w:p>
    <w:p>
      <w:pPr>
        <w:pStyle w:val="ListBullet"/>
        <w:spacing w:after="20"/>
      </w:pPr>
      <w:r>
        <w:rPr>
          <w:rFonts w:ascii="Aptos" w:hAnsi="Aptos"/>
          <w:b w:val="0"/>
          <w:i w:val="0"/>
          <w:color w:val="1C3963"/>
          <w:sz w:val="25"/>
        </w:rPr>
        <w:t>Première feuille de route claire sur les usages IA à lancer en transport et logistique.</w:t>
      </w:r>
    </w:p>
    <w:p>
      <w:pPr>
        <w:keepNext/>
        <w:pageBreakBefore/>
        <w:spacing w:before="0" w:after="60"/>
      </w:pPr>
      <w:r>
        <w:rPr>
          <w:rFonts w:ascii="Aptos" w:hAnsi="Aptos"/>
          <w:b/>
          <w:i w:val="0"/>
          <w:color w:val="EF6C12"/>
          <w:sz w:val="36"/>
        </w:rPr>
        <w:t xml:space="preserve">▌ </w:t>
      </w:r>
      <w:r>
        <w:rPr>
          <w:rFonts w:ascii="Aptos Display" w:hAnsi="Aptos Display"/>
          <w:b/>
          <w:i w:val="0"/>
          <w:color w:val="1C3963"/>
          <w:sz w:val="39"/>
        </w:rPr>
        <w:t>02 - FORMULE PRIORITAIRE</w:t>
      </w:r>
    </w:p>
    <w:p>
      <w:pPr>
        <w:keepNext/>
        <w:spacing w:before="40" w:after="40"/>
      </w:pPr>
      <w:r>
        <w:rPr>
          <w:rFonts w:ascii="Aptos Display" w:hAnsi="Aptos Display"/>
          <w:b/>
          <w:i w:val="0"/>
          <w:color w:val="1C3963"/>
          <w:sz w:val="27"/>
        </w:rPr>
        <w:t>Intitulé</w:t>
      </w:r>
    </w:p>
    <w:p>
      <w:pPr>
        <w:spacing w:after="60"/>
      </w:pPr>
      <w:r>
        <w:rPr>
          <w:rFonts w:ascii="Aptos" w:hAnsi="Aptos"/>
          <w:b w:val="0"/>
          <w:i w:val="0"/>
          <w:color w:val="1C3963"/>
          <w:sz w:val="24"/>
        </w:rPr>
        <w:t>Bootcamp IA Transport &amp; Logistique : de l’acculturation utile au premier pilote mesurable.</w:t>
      </w:r>
    </w:p>
    <w:p>
      <w:pPr>
        <w:keepNext/>
        <w:spacing w:before="40" w:after="40"/>
      </w:pPr>
      <w:r>
        <w:rPr>
          <w:rFonts w:ascii="Aptos Display" w:hAnsi="Aptos Display"/>
          <w:b/>
          <w:i w:val="0"/>
          <w:color w:val="1C3963"/>
          <w:sz w:val="27"/>
        </w:rPr>
        <w:t>Public cible</w:t>
      </w:r>
    </w:p>
    <w:p>
      <w:pPr>
        <w:spacing w:after="60"/>
      </w:pPr>
      <w:r>
        <w:rPr>
          <w:rFonts w:ascii="Aptos" w:hAnsi="Aptos"/>
          <w:b w:val="0"/>
          <w:i w:val="0"/>
          <w:color w:val="1C3963"/>
          <w:sz w:val="24"/>
        </w:rPr>
        <w:t>Exploitation, supply chain, flotte, hubs, service client, direction opérations.</w:t>
      </w:r>
    </w:p>
    <w:p>
      <w:pPr>
        <w:keepNext/>
        <w:spacing w:before="40" w:after="40"/>
      </w:pPr>
      <w:r>
        <w:rPr>
          <w:rFonts w:ascii="Aptos Display" w:hAnsi="Aptos Display"/>
          <w:b/>
          <w:i w:val="0"/>
          <w:color w:val="1C3963"/>
          <w:sz w:val="27"/>
        </w:rPr>
        <w:t>Formats possibles</w:t>
      </w:r>
    </w:p>
    <w:p>
      <w:pPr>
        <w:pStyle w:val="ListBullet"/>
        <w:spacing w:after="0"/>
      </w:pPr>
      <w:r>
        <w:rPr>
          <w:rFonts w:ascii="Aptos" w:hAnsi="Aptos"/>
          <w:b w:val="0"/>
          <w:i w:val="0"/>
          <w:color w:val="1C3963"/>
          <w:sz w:val="23"/>
        </w:rPr>
        <w:t>Présentiel</w:t>
      </w:r>
    </w:p>
    <w:p>
      <w:pPr>
        <w:pStyle w:val="ListBullet"/>
        <w:spacing w:after="0"/>
      </w:pPr>
      <w:r>
        <w:rPr>
          <w:rFonts w:ascii="Aptos" w:hAnsi="Aptos"/>
          <w:b w:val="0"/>
          <w:i w:val="0"/>
          <w:color w:val="1C3963"/>
          <w:sz w:val="23"/>
        </w:rPr>
        <w:t>Hybride</w:t>
      </w:r>
    </w:p>
    <w:p>
      <w:pPr>
        <w:pStyle w:val="ListBullet"/>
        <w:spacing w:after="0"/>
      </w:pPr>
      <w:r>
        <w:rPr>
          <w:rFonts w:ascii="Aptos" w:hAnsi="Aptos"/>
          <w:b w:val="0"/>
          <w:i w:val="0"/>
          <w:color w:val="1C3963"/>
          <w:sz w:val="23"/>
        </w:rPr>
        <w:t>En ligne (style webinaire)</w:t>
      </w:r>
    </w:p>
    <w:p>
      <w:pPr>
        <w:keepNext/>
        <w:spacing w:before="40" w:after="40"/>
      </w:pPr>
      <w:r>
        <w:rPr>
          <w:rFonts w:ascii="Aptos Display" w:hAnsi="Aptos Display"/>
          <w:b/>
          <w:i w:val="0"/>
          <w:color w:val="1C3963"/>
          <w:sz w:val="27"/>
        </w:rPr>
        <w:t>Niveaux</w:t>
      </w:r>
    </w:p>
    <w:p>
      <w:pPr>
        <w:pStyle w:val="ListBullet"/>
        <w:spacing w:after="0"/>
      </w:pPr>
      <w:r>
        <w:rPr>
          <w:rFonts w:ascii="Aptos" w:hAnsi="Aptos"/>
          <w:b w:val="0"/>
          <w:i w:val="0"/>
          <w:color w:val="1C3963"/>
          <w:sz w:val="23"/>
        </w:rPr>
        <w:t>Débutant</w:t>
      </w:r>
    </w:p>
    <w:p>
      <w:pPr>
        <w:pStyle w:val="ListBullet"/>
        <w:spacing w:after="0"/>
      </w:pPr>
      <w:r>
        <w:rPr>
          <w:rFonts w:ascii="Aptos" w:hAnsi="Aptos"/>
          <w:b w:val="0"/>
          <w:i w:val="0"/>
          <w:color w:val="1C3963"/>
          <w:sz w:val="23"/>
        </w:rPr>
        <w:t>Intermédiaire</w:t>
      </w:r>
    </w:p>
    <w:p>
      <w:pPr>
        <w:pStyle w:val="ListBullet"/>
        <w:spacing w:after="0"/>
      </w:pPr>
      <w:r>
        <w:rPr>
          <w:rFonts w:ascii="Aptos" w:hAnsi="Aptos"/>
          <w:b w:val="0"/>
          <w:i w:val="0"/>
          <w:color w:val="1C3963"/>
          <w:sz w:val="23"/>
        </w:rPr>
        <w:t>Avancé</w:t>
      </w:r>
    </w:p>
    <w:p>
      <w:pPr>
        <w:keepNext/>
        <w:spacing w:before="40" w:after="40"/>
      </w:pPr>
      <w:r>
        <w:rPr>
          <w:rFonts w:ascii="Aptos Display" w:hAnsi="Aptos Display"/>
          <w:b/>
          <w:i w:val="0"/>
          <w:color w:val="1C3963"/>
          <w:sz w:val="27"/>
        </w:rPr>
        <w:t>Durée</w:t>
      </w:r>
    </w:p>
    <w:p>
      <w:pPr>
        <w:pStyle w:val="ListBullet"/>
        <w:spacing w:after="0"/>
      </w:pPr>
      <w:r>
        <w:rPr>
          <w:rFonts w:ascii="Aptos" w:hAnsi="Aptos"/>
          <w:b w:val="0"/>
          <w:i w:val="0"/>
          <w:color w:val="1C3963"/>
          <w:sz w:val="23"/>
        </w:rPr>
        <w:t>1 jour : version décideurs et managers.</w:t>
      </w:r>
    </w:p>
    <w:p>
      <w:pPr>
        <w:pStyle w:val="ListBullet"/>
        <w:spacing w:after="0"/>
      </w:pPr>
      <w:r>
        <w:rPr>
          <w:rFonts w:ascii="Aptos" w:hAnsi="Aptos"/>
          <w:b w:val="0"/>
          <w:i w:val="0"/>
          <w:color w:val="1C3963"/>
          <w:sz w:val="23"/>
        </w:rPr>
        <w:t>2 jours : version équipes, managers et mise en pratique.</w:t>
      </w:r>
    </w:p>
    <w:p>
      <w:pPr>
        <w:keepNext/>
        <w:spacing w:before="40" w:after="40"/>
      </w:pPr>
      <w:r>
        <w:rPr>
          <w:rFonts w:ascii="Aptos Display" w:hAnsi="Aptos Display"/>
          <w:b/>
          <w:i w:val="0"/>
          <w:color w:val="1C3963"/>
          <w:sz w:val="27"/>
        </w:rPr>
        <w:t>Tarif</w:t>
      </w:r>
    </w:p>
    <w:p>
      <w:pPr>
        <w:spacing w:after="60"/>
      </w:pPr>
      <w:r>
        <w:rPr>
          <w:rFonts w:ascii="Aptos" w:hAnsi="Aptos"/>
          <w:b w:val="0"/>
          <w:i w:val="0"/>
          <w:color w:val="1C3963"/>
          <w:sz w:val="24"/>
        </w:rPr>
        <w:t>Prix sur demande.</w:t>
      </w:r>
    </w:p>
    <w:p>
      <w:pPr>
        <w:keepNext/>
        <w:spacing w:before="40" w:after="40"/>
      </w:pPr>
      <w:r>
        <w:rPr>
          <w:rFonts w:ascii="Aptos Display" w:hAnsi="Aptos Display"/>
          <w:b/>
          <w:i w:val="0"/>
          <w:color w:val="1C3963"/>
          <w:sz w:val="27"/>
        </w:rPr>
        <w:t>Objectifs pédagogiques</w:t>
      </w:r>
    </w:p>
    <w:p>
      <w:pPr>
        <w:pStyle w:val="ListBullet"/>
        <w:spacing w:after="0"/>
      </w:pPr>
      <w:r>
        <w:rPr>
          <w:rFonts w:ascii="Aptos" w:hAnsi="Aptos"/>
          <w:b w:val="0"/>
          <w:i w:val="0"/>
          <w:color w:val="1C3963"/>
          <w:sz w:val="23"/>
        </w:rPr>
        <w:t>Identifier les priorités métier les plus crédibles à traiter par l’IA dans le transport et la logistique.</w:t>
      </w:r>
    </w:p>
    <w:p>
      <w:pPr>
        <w:pStyle w:val="ListBullet"/>
        <w:spacing w:after="0"/>
      </w:pPr>
      <w:r>
        <w:rPr>
          <w:rFonts w:ascii="Aptos" w:hAnsi="Aptos"/>
          <w:b w:val="0"/>
          <w:i w:val="0"/>
          <w:color w:val="1C3963"/>
          <w:sz w:val="23"/>
        </w:rPr>
        <w:t>Structurer les usages liés au pilotage des opérations, au suivi d’anomalies, à l’interface service client et à la maintenance assistée.</w:t>
      </w:r>
    </w:p>
    <w:p>
      <w:pPr>
        <w:pStyle w:val="ListBullet"/>
        <w:spacing w:after="0"/>
      </w:pPr>
      <w:r>
        <w:rPr>
          <w:rFonts w:ascii="Aptos" w:hAnsi="Aptos"/>
          <w:b w:val="0"/>
          <w:i w:val="0"/>
          <w:color w:val="1C3963"/>
          <w:sz w:val="23"/>
        </w:rPr>
        <w:t>Distinguer les usages activables rapidement, ceux à encadrer et ceux à piloter dans le temps.</w:t>
      </w:r>
    </w:p>
    <w:p>
      <w:pPr>
        <w:pStyle w:val="ListBullet"/>
        <w:spacing w:after="0"/>
      </w:pPr>
      <w:r>
        <w:rPr>
          <w:rFonts w:ascii="Aptos" w:hAnsi="Aptos"/>
          <w:b w:val="0"/>
          <w:i w:val="0"/>
          <w:color w:val="1C3963"/>
          <w:sz w:val="23"/>
        </w:rPr>
        <w:t>Définir des KPI simples, un cadre de confiance et un premier plan d’action à 90 jours.</w:t>
      </w:r>
    </w:p>
    <w:p>
      <w:pPr>
        <w:keepNext/>
        <w:spacing w:before="40" w:after="40"/>
      </w:pPr>
      <w:r>
        <w:rPr>
          <w:rFonts w:ascii="Aptos Display" w:hAnsi="Aptos Display"/>
          <w:b/>
          <w:i w:val="0"/>
          <w:color w:val="1C3963"/>
          <w:sz w:val="27"/>
        </w:rPr>
        <w:t>Formations proposées</w:t>
      </w:r>
    </w:p>
    <w:p>
      <w:pPr>
        <w:pStyle w:val="ListBullet"/>
        <w:spacing w:after="0"/>
      </w:pPr>
      <w:r>
        <w:rPr>
          <w:rFonts w:ascii="Aptos" w:hAnsi="Aptos"/>
          <w:b w:val="0"/>
          <w:i w:val="0"/>
          <w:color w:val="1C3963"/>
          <w:sz w:val="23"/>
        </w:rPr>
        <w:t>Cockpit synthétique des opérations terrain.</w:t>
      </w:r>
    </w:p>
    <w:p>
      <w:pPr>
        <w:pStyle w:val="ListBullet"/>
        <w:spacing w:after="0"/>
      </w:pPr>
      <w:r>
        <w:rPr>
          <w:rFonts w:ascii="Aptos" w:hAnsi="Aptos"/>
          <w:b w:val="0"/>
          <w:i w:val="0"/>
          <w:color w:val="1C3963"/>
          <w:sz w:val="23"/>
        </w:rPr>
        <w:t>Gestion de flotte et suivi d’anomalies.</w:t>
      </w:r>
    </w:p>
    <w:p>
      <w:pPr>
        <w:pStyle w:val="ListBullet"/>
        <w:spacing w:after="0"/>
      </w:pPr>
      <w:r>
        <w:rPr>
          <w:rFonts w:ascii="Aptos" w:hAnsi="Aptos"/>
          <w:b w:val="0"/>
          <w:i w:val="0"/>
          <w:color w:val="1C3963"/>
          <w:sz w:val="23"/>
        </w:rPr>
        <w:t>Interface opérations et service client.</w:t>
      </w:r>
    </w:p>
    <w:p>
      <w:pPr>
        <w:pStyle w:val="ListBullet"/>
        <w:spacing w:after="0"/>
      </w:pPr>
      <w:r>
        <w:rPr>
          <w:rFonts w:ascii="Aptos" w:hAnsi="Aptos"/>
          <w:b w:val="0"/>
          <w:i w:val="0"/>
          <w:color w:val="1C3963"/>
          <w:sz w:val="23"/>
        </w:rPr>
        <w:t>Maintenance et support prédictif.</w:t>
      </w:r>
    </w:p>
    <w:p>
      <w:pPr>
        <w:pStyle w:val="ListBullet"/>
        <w:spacing w:after="0"/>
      </w:pPr>
      <w:r>
        <w:rPr>
          <w:rFonts w:ascii="Aptos" w:hAnsi="Aptos"/>
          <w:b w:val="0"/>
          <w:i w:val="0"/>
          <w:color w:val="1C3963"/>
          <w:sz w:val="23"/>
        </w:rPr>
        <w:t>Cadre de confiance, gouvernance et supervision humaine des usages IA.</w:t>
      </w:r>
    </w:p>
    <w:p>
      <w:pPr>
        <w:keepNext/>
        <w:pageBreakBefore/>
        <w:spacing w:before="0" w:after="60"/>
      </w:pPr>
      <w:r>
        <w:rPr>
          <w:rFonts w:ascii="Aptos" w:hAnsi="Aptos"/>
          <w:b/>
          <w:i w:val="0"/>
          <w:color w:val="EF6C12"/>
          <w:sz w:val="36"/>
        </w:rPr>
        <w:t xml:space="preserve">▌ </w:t>
      </w:r>
      <w:r>
        <w:rPr>
          <w:rFonts w:ascii="Aptos Display" w:hAnsi="Aptos Display"/>
          <w:b/>
          <w:i w:val="0"/>
          <w:color w:val="1C3963"/>
          <w:sz w:val="39"/>
        </w:rPr>
        <w:t>03 - PROGRAMME PROPOSÉ</w:t>
      </w:r>
    </w:p>
    <w:p>
      <w:pPr>
        <w:keepNext/>
        <w:spacing w:before="100" w:after="60"/>
      </w:pPr>
      <w:r>
        <w:rPr>
          <w:rFonts w:ascii="Aptos Display" w:hAnsi="Aptos Display"/>
          <w:b/>
          <w:i w:val="0"/>
          <w:color w:val="1C3963"/>
          <w:sz w:val="30"/>
        </w:rPr>
        <w:t>Jour 1</w:t>
      </w:r>
    </w:p>
    <w:p>
      <w:pPr>
        <w:pStyle w:val="ListBullet"/>
        <w:spacing w:after="0"/>
      </w:pPr>
      <w:r>
        <w:rPr>
          <w:rFonts w:ascii="Aptos" w:hAnsi="Aptos"/>
          <w:b w:val="0"/>
          <w:i w:val="0"/>
          <w:color w:val="1C3963"/>
          <w:sz w:val="23"/>
        </w:rPr>
        <w:t>Lecture des enjeux transport et logistique, cartographie des irritants prioritaires et sélection des premiers gains visés.</w:t>
      </w:r>
    </w:p>
    <w:p>
      <w:pPr>
        <w:pStyle w:val="ListBullet"/>
        <w:spacing w:after="0"/>
      </w:pPr>
      <w:r>
        <w:rPr>
          <w:rFonts w:ascii="Aptos" w:hAnsi="Aptos"/>
          <w:b w:val="0"/>
          <w:i w:val="0"/>
          <w:color w:val="1C3963"/>
          <w:sz w:val="23"/>
        </w:rPr>
        <w:t>Études de cas guidées sur le cockpit des opérations et le suivi d’anomalies.</w:t>
      </w:r>
    </w:p>
    <w:p>
      <w:pPr>
        <w:pStyle w:val="ListBullet"/>
        <w:spacing w:after="0"/>
      </w:pPr>
      <w:r>
        <w:rPr>
          <w:rFonts w:ascii="Aptos" w:hAnsi="Aptos"/>
          <w:b w:val="0"/>
          <w:i w:val="0"/>
          <w:color w:val="1C3963"/>
          <w:sz w:val="23"/>
        </w:rPr>
        <w:t>Méthodes, prompts, routines et gestes métier autour de la lecture des incidents, flux et priorités terrain.</w:t>
      </w:r>
    </w:p>
    <w:p>
      <w:pPr>
        <w:pStyle w:val="ListBullet"/>
        <w:spacing w:after="0"/>
      </w:pPr>
      <w:r>
        <w:rPr>
          <w:rFonts w:ascii="Aptos" w:hAnsi="Aptos"/>
          <w:b w:val="0"/>
          <w:i w:val="0"/>
          <w:color w:val="1C3963"/>
          <w:sz w:val="23"/>
        </w:rPr>
        <w:t>Cadre de confiance : confidentialité, validation managériale, supervision humaine et critères d’extension.</w:t>
      </w:r>
    </w:p>
    <w:p>
      <w:pPr>
        <w:keepNext/>
        <w:spacing w:before="100" w:after="60"/>
      </w:pPr>
      <w:r>
        <w:rPr>
          <w:rFonts w:ascii="Aptos Display" w:hAnsi="Aptos Display"/>
          <w:b/>
          <w:i w:val="0"/>
          <w:color w:val="1C3963"/>
          <w:sz w:val="30"/>
        </w:rPr>
        <w:t>Jour 2</w:t>
      </w:r>
    </w:p>
    <w:p>
      <w:pPr>
        <w:pStyle w:val="ListBullet"/>
        <w:spacing w:after="0"/>
      </w:pPr>
      <w:r>
        <w:rPr>
          <w:rFonts w:ascii="Aptos" w:hAnsi="Aptos"/>
          <w:b w:val="0"/>
          <w:i w:val="0"/>
          <w:color w:val="1C3963"/>
          <w:sz w:val="23"/>
        </w:rPr>
        <w:t>Ateliers de conception sur l’interface service client, la maintenance assistée et les routines d’exploitation.</w:t>
      </w:r>
    </w:p>
    <w:p>
      <w:pPr>
        <w:pStyle w:val="ListBullet"/>
        <w:spacing w:after="0"/>
      </w:pPr>
      <w:r>
        <w:rPr>
          <w:rFonts w:ascii="Aptos" w:hAnsi="Aptos"/>
          <w:b w:val="0"/>
          <w:i w:val="0"/>
          <w:color w:val="1C3963"/>
          <w:sz w:val="23"/>
        </w:rPr>
        <w:t>Construction d’un premier canevas de pilote, des KPI de suivi et des livrables attendus.</w:t>
      </w:r>
    </w:p>
    <w:p>
      <w:pPr>
        <w:pStyle w:val="ListBullet"/>
        <w:spacing w:after="0"/>
      </w:pPr>
      <w:r>
        <w:rPr>
          <w:rFonts w:ascii="Aptos" w:hAnsi="Aptos"/>
          <w:b w:val="0"/>
          <w:i w:val="0"/>
          <w:color w:val="1C3963"/>
          <w:sz w:val="23"/>
        </w:rPr>
        <w:t>Approfondissements recommandés : flotte, approvisionnement, relation client et support prédictif.</w:t>
      </w:r>
    </w:p>
    <w:p>
      <w:pPr>
        <w:pStyle w:val="ListBullet"/>
        <w:spacing w:after="0"/>
      </w:pPr>
      <w:r>
        <w:rPr>
          <w:rFonts w:ascii="Aptos" w:hAnsi="Aptos"/>
          <w:b w:val="0"/>
          <w:i w:val="0"/>
          <w:color w:val="1C3963"/>
          <w:sz w:val="23"/>
        </w:rPr>
        <w:t>Plan d’action à 90 jours : gouvernance, équipes à former, priorités de déploiement et décision d’extension.</w:t>
      </w:r>
    </w:p>
    <w:p>
      <w:pPr>
        <w:keepNext/>
        <w:pageBreakBefore w:val="0"/>
        <w:spacing w:before="160" w:after="60"/>
      </w:pPr>
      <w:r>
        <w:rPr>
          <w:rFonts w:ascii="Aptos" w:hAnsi="Aptos"/>
          <w:b/>
          <w:i w:val="0"/>
          <w:color w:val="EF6C12"/>
          <w:sz w:val="36"/>
        </w:rPr>
        <w:t xml:space="preserve">▌ </w:t>
      </w:r>
      <w:r>
        <w:rPr>
          <w:rFonts w:ascii="Aptos Display" w:hAnsi="Aptos Display"/>
          <w:b/>
          <w:i w:val="0"/>
          <w:color w:val="1C3963"/>
          <w:sz w:val="39"/>
        </w:rPr>
        <w:t>04 - LIVRABLES ATTENDUS</w:t>
      </w:r>
    </w:p>
    <w:p>
      <w:pPr>
        <w:pStyle w:val="ListBullet"/>
        <w:spacing w:after="0"/>
      </w:pPr>
      <w:r>
        <w:rPr>
          <w:rFonts w:ascii="Aptos" w:hAnsi="Aptos"/>
          <w:b w:val="0"/>
          <w:i w:val="0"/>
          <w:color w:val="1C3963"/>
          <w:sz w:val="23"/>
        </w:rPr>
        <w:t>Une note de cadrage transport et logistique avec priorités confirmées, risques, points de vigilance et premières décisions.</w:t>
      </w:r>
    </w:p>
    <w:p>
      <w:pPr>
        <w:pStyle w:val="ListBullet"/>
        <w:spacing w:after="0"/>
      </w:pPr>
      <w:r>
        <w:rPr>
          <w:rFonts w:ascii="Aptos" w:hAnsi="Aptos"/>
          <w:b w:val="0"/>
          <w:i w:val="0"/>
          <w:color w:val="1C3963"/>
          <w:sz w:val="23"/>
        </w:rPr>
        <w:t>Une matrice des usages prioritaires applicable au pilotage des flux, aux anomalies, au service client et à la maintenance.</w:t>
      </w:r>
    </w:p>
    <w:p>
      <w:pPr>
        <w:pStyle w:val="ListBullet"/>
        <w:spacing w:after="0"/>
      </w:pPr>
      <w:r>
        <w:rPr>
          <w:rFonts w:ascii="Aptos" w:hAnsi="Aptos"/>
          <w:b w:val="0"/>
          <w:i w:val="0"/>
          <w:color w:val="1C3963"/>
          <w:sz w:val="23"/>
        </w:rPr>
        <w:t>Un canevas de pilote à 90 jours avec KPI, rôles, supervision et critères de succès.</w:t>
      </w:r>
    </w:p>
    <w:p>
      <w:pPr>
        <w:pStyle w:val="ListBullet"/>
        <w:spacing w:after="0"/>
      </w:pPr>
      <w:r>
        <w:rPr>
          <w:rFonts w:ascii="Aptos" w:hAnsi="Aptos"/>
          <w:b w:val="0"/>
          <w:i w:val="0"/>
          <w:color w:val="1C3963"/>
          <w:sz w:val="23"/>
        </w:rPr>
        <w:t>Une recommandation de parcours de montée en compétences pour les décideurs et équipes opérations ciblées.</w:t>
      </w:r>
    </w:p>
    <w:p>
      <w:pPr>
        <w:keepNext/>
        <w:pageBreakBefore w:val="0"/>
        <w:spacing w:before="160" w:after="60"/>
      </w:pPr>
      <w:r>
        <w:rPr>
          <w:rFonts w:ascii="Aptos" w:hAnsi="Aptos"/>
          <w:b/>
          <w:i w:val="0"/>
          <w:color w:val="EF6C12"/>
          <w:sz w:val="36"/>
        </w:rPr>
        <w:t xml:space="preserve">▌ </w:t>
      </w:r>
      <w:r>
        <w:rPr>
          <w:rFonts w:ascii="Aptos Display" w:hAnsi="Aptos Display"/>
          <w:b/>
          <w:i w:val="0"/>
          <w:color w:val="1C3963"/>
          <w:sz w:val="39"/>
        </w:rPr>
        <w:t>05 - DOMAINES DE RÉFÉRENCE</w:t>
      </w:r>
    </w:p>
    <w:p>
      <w:pPr>
        <w:pStyle w:val="ListBullet"/>
        <w:spacing w:after="0"/>
      </w:pPr>
      <w:r>
        <w:rPr>
          <w:rFonts w:ascii="Aptos" w:hAnsi="Aptos"/>
          <w:b w:val="0"/>
          <w:i w:val="0"/>
          <w:color w:val="1C3963"/>
          <w:sz w:val="23"/>
        </w:rPr>
        <w:t>Pilotage des opérations terrain</w:t>
      </w:r>
    </w:p>
    <w:p>
      <w:pPr>
        <w:pStyle w:val="ListBullet"/>
        <w:spacing w:after="0"/>
      </w:pPr>
      <w:r>
        <w:rPr>
          <w:rFonts w:ascii="Aptos" w:hAnsi="Aptos"/>
          <w:b w:val="0"/>
          <w:i w:val="0"/>
          <w:color w:val="1C3963"/>
          <w:sz w:val="23"/>
        </w:rPr>
        <w:t>Gestion de flotte et suivi d’exceptions</w:t>
      </w:r>
    </w:p>
    <w:p>
      <w:pPr>
        <w:pStyle w:val="ListBullet"/>
        <w:spacing w:after="0"/>
      </w:pPr>
      <w:r>
        <w:rPr>
          <w:rFonts w:ascii="Aptos" w:hAnsi="Aptos"/>
          <w:b w:val="0"/>
          <w:i w:val="0"/>
          <w:color w:val="1C3963"/>
          <w:sz w:val="23"/>
        </w:rPr>
        <w:t>Interface exploitation et service client</w:t>
      </w:r>
    </w:p>
    <w:p>
      <w:pPr>
        <w:pStyle w:val="ListBullet"/>
        <w:spacing w:after="0"/>
      </w:pPr>
      <w:r>
        <w:rPr>
          <w:rFonts w:ascii="Aptos" w:hAnsi="Aptos"/>
          <w:b w:val="0"/>
          <w:i w:val="0"/>
          <w:color w:val="1C3963"/>
          <w:sz w:val="23"/>
        </w:rPr>
        <w:t>Maintenance et support prédictif</w:t>
      </w:r>
    </w:p>
    <w:p>
      <w:pPr>
        <w:pStyle w:val="ListBullet"/>
        <w:spacing w:after="0"/>
      </w:pPr>
      <w:r>
        <w:rPr>
          <w:rFonts w:ascii="Aptos" w:hAnsi="Aptos"/>
          <w:b w:val="0"/>
          <w:i w:val="0"/>
          <w:color w:val="1C3963"/>
          <w:sz w:val="23"/>
        </w:rPr>
        <w:t>Supply chain, hubs et coordination opérationnelle</w:t>
      </w:r>
    </w:p>
    <w:sectPr w:rsidR="00FC693F" w:rsidRPr="0006063C" w:rsidSect="00034616">
      <w:footerReference w:type="default" r:id="rId9"/>
      <w:pgSz w:w="11906" w:h="16838"/>
      <w:pgMar w:top="113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B7C93"/>
        <w:sz w:val="17"/>
      </w:rPr>
      <w:t>TransferAI Africa | www.transferai.ci | IA Assistant / WhatsApp : +225 07 16 57 39 90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