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jc w:val="right"/>
      </w:pPr>
      <w:r>
        <w:rPr>
          <w:rFonts w:ascii="Aptos" w:hAnsi="Aptos"/>
          <w:b w:val="0"/>
          <w:i w:val="0"/>
          <w:color w:val="6B7C93"/>
          <w:sz w:val="23"/>
        </w:rPr>
        <w:t>Mini-catalogue sectoriel | IA métier, formation et accompagnement</w:t>
      </w:r>
    </w:p>
    <w:p>
      <w:pPr>
        <w:spacing w:after="0"/>
      </w:pPr>
      <w:r>
        <w:rPr>
          <w:rFonts w:ascii="Aptos Display" w:hAnsi="Aptos Display"/>
          <w:b/>
          <w:i w:val="0"/>
          <w:color w:val="EF6C12"/>
          <w:sz w:val="36"/>
        </w:rPr>
        <w:t>MINI-CATALOGUE</w:t>
      </w:r>
    </w:p>
    <w:p>
      <w:pPr>
        <w:spacing w:after="40"/>
      </w:pPr>
      <w:r>
        <w:rPr>
          <w:rFonts w:ascii="Aptos Display" w:hAnsi="Aptos Display"/>
          <w:b/>
          <w:i w:val="0"/>
          <w:color w:val="1C3963"/>
          <w:sz w:val="52"/>
        </w:rPr>
        <w:t>SOLUTIONS IA ET FORMATIONS STRATÉGIQUES</w:t>
      </w:r>
    </w:p>
    <w:p>
      <w:pPr>
        <w:spacing w:after="320"/>
      </w:pPr>
      <w:r>
        <w:rPr>
          <w:rFonts w:ascii="Aptos Display" w:hAnsi="Aptos Display"/>
          <w:b/>
          <w:i w:val="0"/>
          <w:color w:val="1C8A78"/>
          <w:sz w:val="38"/>
        </w:rPr>
        <w:t>pour les directions énergie, pétrole et opérations sensibles</w:t>
      </w:r>
    </w:p>
    <w:p>
      <w:pPr>
        <w:spacing w:after="60"/>
      </w:pPr>
      <w:r>
        <w:rPr>
          <w:rFonts w:ascii="Aptos" w:hAnsi="Aptos"/>
          <w:b w:val="0"/>
          <w:i w:val="0"/>
          <w:color w:val="6B7C93"/>
          <w:sz w:val="25"/>
        </w:rPr>
        <w:t>Opérations · Maintenance · HSE · Finance · Direction de site · Réseau et distribution</w:t>
      </w:r>
    </w:p>
    <w:p>
      <w:pPr>
        <w:spacing w:after="60"/>
      </w:pPr>
      <w:r>
        <w:rPr>
          <w:rFonts w:ascii="Aptos" w:hAnsi="Aptos"/>
          <w:b w:val="0"/>
          <w:i w:val="0"/>
          <w:color w:val="6B7C93"/>
          <w:sz w:val="25"/>
        </w:rPr>
        <w:t>Document de présentation sectoriel | Présentiel · Hybride · En ligne</w:t>
      </w:r>
    </w:p>
    <w:p>
      <w:pPr>
        <w:keepNext/>
        <w:pageBreakBefore w:val="0"/>
        <w:spacing w:before="200" w:after="60"/>
      </w:pPr>
      <w:r>
        <w:rPr>
          <w:rFonts w:ascii="Aptos" w:hAnsi="Aptos"/>
          <w:b/>
          <w:i w:val="0"/>
          <w:color w:val="EF6C12"/>
          <w:sz w:val="36"/>
        </w:rPr>
        <w:t xml:space="preserve">▌ </w:t>
      </w:r>
      <w:r>
        <w:rPr>
          <w:rFonts w:ascii="Aptos Display" w:hAnsi="Aptos Display"/>
          <w:b/>
          <w:i w:val="0"/>
          <w:color w:val="1C3963"/>
          <w:sz w:val="39"/>
        </w:rPr>
        <w:t>PROMESSE CENTRALE</w:t>
      </w:r>
    </w:p>
    <w:p>
      <w:pPr>
        <w:spacing w:after="60"/>
      </w:pPr>
      <w:r>
        <w:rPr>
          <w:rFonts w:ascii="Aptos" w:hAnsi="Aptos"/>
          <w:b w:val="0"/>
          <w:i w:val="0"/>
          <w:color w:val="1C3963"/>
          <w:sz w:val="26"/>
        </w:rPr>
        <w:t>Transformer l’IA en usages concrets, activables et gouvernés pour mieux piloter les opérations, les comptes, la maintenance et la qualité de service dans des environnements sensibles.</w:t>
      </w:r>
    </w:p>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POSITIONNEMENT DE L’OFFRE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866"/>
      </w:tblGrid>
      <w:tr>
        <w:tc>
          <w:tcPr>
            <w:tcW w:type="dxa" w:w="9354"/>
            <w:vAlign w:val="center"/>
            <w:shd w:fill="F8F3EC"/>
            <w:tcBorders>
              <w:top w:val="single" w:sz="8" w:color="F1A56E"/>
              <w:left w:val="single" w:sz="8" w:color="F1A56E"/>
              <w:bottom w:val="single" w:sz="8" w:color="F1A56E"/>
              <w:right w:val="single" w:sz="8" w:color="F1A56E"/>
            </w:tcBorders>
          </w:tcPr>
          <w:p>
            <w:pPr>
              <w:spacing w:after="60"/>
            </w:pPr>
            <w:r>
              <w:rPr>
                <w:rFonts w:ascii="Aptos Display" w:hAnsi="Aptos Display"/>
                <w:b/>
                <w:i w:val="0"/>
                <w:color w:val="1C3963"/>
                <w:sz w:val="32"/>
              </w:rPr>
              <w:t>Proposition ciblée</w:t>
            </w:r>
          </w:p>
          <w:p>
            <w:pPr>
              <w:spacing w:after="0"/>
            </w:pPr>
            <w:r>
              <w:rPr>
                <w:rFonts w:ascii="Aptos" w:hAnsi="Aptos"/>
                <w:b w:val="0"/>
                <w:i w:val="0"/>
                <w:color w:val="1C3963"/>
                <w:sz w:val="25"/>
              </w:rPr>
              <w:t>TransferAI propose une trajectoire simple et pilotable : identifier les flux critiques, structurer la lecture des alertes et lancer un premier pilote mesurable autour du pilotage des comptes, de la maintenance assistée, du service client réseau ou de la conformité HSE.</w:t>
            </w:r>
          </w:p>
        </w:tc>
      </w:tr>
    </w:tbl>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BÉNÉFICES MÉTIER VISIBLES</w:t>
      </w:r>
    </w:p>
    <w:p>
      <w:pPr>
        <w:pStyle w:val="ListBullet"/>
        <w:spacing w:after="20"/>
      </w:pPr>
      <w:r>
        <w:rPr>
          <w:rFonts w:ascii="Aptos" w:hAnsi="Aptos"/>
          <w:b w:val="0"/>
          <w:i w:val="0"/>
          <w:color w:val="1C3963"/>
          <w:sz w:val="24"/>
        </w:rPr>
        <w:t>Lecture plus rapide des comptes, alertes et opérations pour la direction et l’exploitation.</w:t>
      </w:r>
    </w:p>
    <w:p>
      <w:pPr>
        <w:pStyle w:val="ListBullet"/>
        <w:spacing w:after="20"/>
      </w:pPr>
      <w:r>
        <w:rPr>
          <w:rFonts w:ascii="Aptos" w:hAnsi="Aptos"/>
          <w:b w:val="0"/>
          <w:i w:val="0"/>
          <w:color w:val="1C3963"/>
          <w:sz w:val="24"/>
        </w:rPr>
        <w:t>Meilleure réactivité sur les anomalies, incidents et historiques de maintenance.</w:t>
      </w:r>
    </w:p>
    <w:p>
      <w:pPr>
        <w:pStyle w:val="ListBullet"/>
        <w:spacing w:after="20"/>
      </w:pPr>
      <w:r>
        <w:rPr>
          <w:rFonts w:ascii="Aptos" w:hAnsi="Aptos"/>
          <w:b w:val="0"/>
          <w:i w:val="0"/>
          <w:color w:val="1C3963"/>
          <w:sz w:val="24"/>
        </w:rPr>
        <w:t>Réponses plus homogènes côté service client et réseau de distribution.</w:t>
      </w:r>
    </w:p>
    <w:p>
      <w:pPr>
        <w:pStyle w:val="ListBullet"/>
        <w:spacing w:after="20"/>
      </w:pPr>
      <w:r>
        <w:rPr>
          <w:rFonts w:ascii="Aptos" w:hAnsi="Aptos"/>
          <w:b w:val="0"/>
          <w:i w:val="0"/>
          <w:color w:val="1C3963"/>
          <w:sz w:val="24"/>
        </w:rPr>
        <w:t>Cadre documentaire plus solide sur la conformité HSE, les standards et les audits.</w:t>
      </w:r>
    </w:p>
    <w:p>
      <w:pPr>
        <w:keepNext/>
        <w:pageBreakBefore/>
        <w:spacing w:before="0" w:after="60"/>
      </w:pPr>
      <w:r>
        <w:rPr>
          <w:rFonts w:ascii="Aptos" w:hAnsi="Aptos"/>
          <w:b/>
          <w:i w:val="0"/>
          <w:color w:val="EF6C12"/>
          <w:sz w:val="36"/>
        </w:rPr>
        <w:t xml:space="preserve">▌ </w:t>
      </w:r>
      <w:r>
        <w:rPr>
          <w:rFonts w:ascii="Aptos Display" w:hAnsi="Aptos Display"/>
          <w:b/>
          <w:i w:val="0"/>
          <w:color w:val="1C3963"/>
          <w:sz w:val="39"/>
        </w:rPr>
        <w:t>01 - SYNTHÈSE EXÉCUTIVE ÉNERGIE &amp; PÉTROLE</w:t>
      </w:r>
    </w:p>
    <w:p>
      <w:pPr>
        <w:spacing w:after="60"/>
      </w:pPr>
      <w:r>
        <w:rPr>
          <w:rFonts w:ascii="Aptos" w:hAnsi="Aptos"/>
          <w:b w:val="0"/>
          <w:i w:val="0"/>
          <w:color w:val="1C3963"/>
          <w:sz w:val="25"/>
        </w:rPr>
        <w:t>Dans l’énergie et le pétrole, la valeur de l’IA se mesure dans la capacité à mieux relier opérations, maintenance, HSE, finance et réseau de distribution autour d’une lecture consolidée, commentée et utile à la décision, sans compromis sur la supervision humaine.</w:t>
      </w:r>
    </w:p>
    <w:p>
      <w:pPr>
        <w:keepNext/>
        <w:spacing w:before="100" w:after="60"/>
      </w:pPr>
      <w:r>
        <w:rPr>
          <w:rFonts w:ascii="Aptos Display" w:hAnsi="Aptos Display"/>
          <w:b/>
          <w:i w:val="0"/>
          <w:color w:val="1C3963"/>
          <w:sz w:val="30"/>
        </w:rPr>
        <w:t>Priorités métier les plus crédibles</w:t>
      </w:r>
    </w:p>
    <w:p>
      <w:pPr>
        <w:pStyle w:val="ListBullet"/>
        <w:spacing w:after="20"/>
      </w:pPr>
      <w:r>
        <w:rPr>
          <w:rFonts w:ascii="Aptos" w:hAnsi="Aptos"/>
          <w:b w:val="0"/>
          <w:i w:val="0"/>
          <w:color w:val="1C3963"/>
          <w:sz w:val="25"/>
        </w:rPr>
        <w:t>Multi-activités encore difficiles à relier entre comptes, distribution, maintenance, réseau et service.</w:t>
      </w:r>
    </w:p>
    <w:p>
      <w:pPr>
        <w:pStyle w:val="ListBullet"/>
        <w:spacing w:after="20"/>
      </w:pPr>
      <w:r>
        <w:rPr>
          <w:rFonts w:ascii="Aptos" w:hAnsi="Aptos"/>
          <w:b w:val="0"/>
          <w:i w:val="0"/>
          <w:color w:val="1C3963"/>
          <w:sz w:val="25"/>
        </w:rPr>
        <w:t>Pilotage des comptes et opérations encore trop lent pour les responsables de terrain et de direction.</w:t>
      </w:r>
    </w:p>
    <w:p>
      <w:pPr>
        <w:pStyle w:val="ListBullet"/>
        <w:spacing w:after="20"/>
      </w:pPr>
      <w:r>
        <w:rPr>
          <w:rFonts w:ascii="Aptos" w:hAnsi="Aptos"/>
          <w:b w:val="0"/>
          <w:i w:val="0"/>
          <w:color w:val="1C3963"/>
          <w:sz w:val="25"/>
        </w:rPr>
        <w:t>Maintenance et anomalies encore coûteuses faute de lecture plus précoce des signaux utiles.</w:t>
      </w:r>
    </w:p>
    <w:p>
      <w:pPr>
        <w:pStyle w:val="ListBullet"/>
        <w:spacing w:after="20"/>
      </w:pPr>
      <w:r>
        <w:rPr>
          <w:rFonts w:ascii="Aptos" w:hAnsi="Aptos"/>
          <w:b w:val="0"/>
          <w:i w:val="0"/>
          <w:color w:val="1C3963"/>
          <w:sz w:val="25"/>
        </w:rPr>
        <w:t>Cadre HSE et conformité documentaire encore exigeant en temps, rigueur et coordination.</w:t>
      </w:r>
    </w:p>
    <w:p>
      <w:pPr>
        <w:keepNext/>
        <w:spacing w:before="100" w:after="60"/>
      </w:pPr>
      <w:r>
        <w:rPr>
          <w:rFonts w:ascii="Aptos Display" w:hAnsi="Aptos Display"/>
          <w:b/>
          <w:i w:val="0"/>
          <w:color w:val="1C3963"/>
          <w:sz w:val="30"/>
        </w:rPr>
        <w:t>KPI de référence</w:t>
      </w:r>
    </w:p>
    <w:p>
      <w:pPr>
        <w:pStyle w:val="ListBullet"/>
        <w:spacing w:after="20"/>
      </w:pPr>
      <w:r>
        <w:rPr>
          <w:rFonts w:ascii="Aptos" w:hAnsi="Aptos"/>
          <w:b w:val="0"/>
          <w:i w:val="0"/>
          <w:color w:val="1C3963"/>
          <w:sz w:val="25"/>
        </w:rPr>
        <w:t>Temps de préparation de comité et délai de relance ou de décision.</w:t>
      </w:r>
    </w:p>
    <w:p>
      <w:pPr>
        <w:pStyle w:val="ListBullet"/>
        <w:spacing w:after="20"/>
      </w:pPr>
      <w:r>
        <w:rPr>
          <w:rFonts w:ascii="Aptos" w:hAnsi="Aptos"/>
          <w:b w:val="0"/>
          <w:i w:val="0"/>
          <w:color w:val="1C3963"/>
          <w:sz w:val="25"/>
        </w:rPr>
        <w:t>Temps de détection et temps de réaction sur incidents et écarts critiques.</w:t>
      </w:r>
    </w:p>
    <w:p>
      <w:pPr>
        <w:pStyle w:val="ListBullet"/>
        <w:spacing w:after="20"/>
      </w:pPr>
      <w:r>
        <w:rPr>
          <w:rFonts w:ascii="Aptos" w:hAnsi="Aptos"/>
          <w:b w:val="0"/>
          <w:i w:val="0"/>
          <w:color w:val="1C3963"/>
          <w:sz w:val="25"/>
        </w:rPr>
        <w:t>Temps moyen de réponse et taux de résolution au premier niveau.</w:t>
      </w:r>
    </w:p>
    <w:p>
      <w:pPr>
        <w:pStyle w:val="ListBullet"/>
        <w:spacing w:after="20"/>
      </w:pPr>
      <w:r>
        <w:rPr>
          <w:rFonts w:ascii="Aptos" w:hAnsi="Aptos"/>
          <w:b w:val="0"/>
          <w:i w:val="0"/>
          <w:color w:val="1C3963"/>
          <w:sz w:val="25"/>
        </w:rPr>
        <w:t>Temps de préparation documentaire et nombre de points de contrôle couverts.</w:t>
      </w:r>
    </w:p>
    <w:p>
      <w:pPr>
        <w:keepNext/>
        <w:spacing w:before="100" w:after="60"/>
      </w:pPr>
      <w:r>
        <w:rPr>
          <w:rFonts w:ascii="Aptos Display" w:hAnsi="Aptos Display"/>
          <w:b/>
          <w:i w:val="0"/>
          <w:color w:val="1C3963"/>
          <w:sz w:val="30"/>
        </w:rPr>
        <w:t>Approche recommandée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866"/>
      </w:tblGrid>
      <w:tr>
        <w:tc>
          <w:tcPr>
            <w:tcW w:type="dxa" w:w="9354"/>
            <w:vAlign w:val="center"/>
            <w:shd w:fill="F8F3EC"/>
            <w:tcBorders>
              <w:top w:val="single" w:sz="8" w:color="F1A56E"/>
              <w:left w:val="single" w:sz="8" w:color="F1A56E"/>
              <w:bottom w:val="single" w:sz="8" w:color="F1A56E"/>
              <w:right w:val="single" w:sz="8" w:color="F1A56E"/>
            </w:tcBorders>
          </w:tcPr>
          <w:p>
            <w:pPr>
              <w:spacing w:after="60"/>
            </w:pPr>
            <w:r>
              <w:rPr>
                <w:rFonts w:ascii="Aptos Display" w:hAnsi="Aptos Display"/>
                <w:b/>
                <w:i w:val="0"/>
                <w:color w:val="1C3963"/>
                <w:sz w:val="32"/>
              </w:rPr>
              <w:t>Séquence recommandée</w:t>
            </w:r>
          </w:p>
          <w:p>
            <w:pPr>
              <w:spacing w:after="0"/>
            </w:pPr>
            <w:r>
              <w:rPr>
                <w:rFonts w:ascii="Aptos" w:hAnsi="Aptos"/>
                <w:b w:val="0"/>
                <w:i w:val="0"/>
                <w:color w:val="1C3963"/>
                <w:sz w:val="25"/>
              </w:rPr>
              <w:t>Audit IA gratuit, cadrage de deux processus prioritaires, bootcamp ciblé pour décideurs et équipes opérations, puis accompagnement sur 90 jours avec KPI simples, supervision humaine et décision d’extension.</w:t>
            </w:r>
          </w:p>
        </w:tc>
      </w:tr>
    </w:tbl>
    <w:p>
      <w:pPr>
        <w:keepNext/>
        <w:spacing w:before="100" w:after="60"/>
      </w:pPr>
      <w:r>
        <w:rPr>
          <w:rFonts w:ascii="Aptos Display" w:hAnsi="Aptos Display"/>
          <w:b/>
          <w:i w:val="0"/>
          <w:color w:val="1C3963"/>
          <w:sz w:val="30"/>
        </w:rPr>
        <w:t>Résultats attendus</w:t>
      </w:r>
    </w:p>
    <w:p>
      <w:pPr>
        <w:pStyle w:val="ListBullet"/>
        <w:spacing w:after="20"/>
      </w:pPr>
      <w:r>
        <w:rPr>
          <w:rFonts w:ascii="Aptos" w:hAnsi="Aptos"/>
          <w:b w:val="0"/>
          <w:i w:val="0"/>
          <w:color w:val="1C3963"/>
          <w:sz w:val="25"/>
        </w:rPr>
        <w:t>Lecture plus rapide des comptes et opérations grâce à des synthèses et alertes mieux structurées.</w:t>
      </w:r>
    </w:p>
    <w:p>
      <w:pPr>
        <w:pStyle w:val="ListBullet"/>
        <w:spacing w:after="20"/>
      </w:pPr>
      <w:r>
        <w:rPr>
          <w:rFonts w:ascii="Aptos" w:hAnsi="Aptos"/>
          <w:b w:val="0"/>
          <w:i w:val="0"/>
          <w:color w:val="1C3963"/>
          <w:sz w:val="25"/>
        </w:rPr>
        <w:t>Réactivité accrue sur les anomalies et la maintenance grâce à une lecture plus exploitable des signaux.</w:t>
      </w:r>
    </w:p>
    <w:p>
      <w:pPr>
        <w:pStyle w:val="ListBullet"/>
        <w:spacing w:after="20"/>
      </w:pPr>
      <w:r>
        <w:rPr>
          <w:rFonts w:ascii="Aptos" w:hAnsi="Aptos"/>
          <w:b w:val="0"/>
          <w:i w:val="0"/>
          <w:color w:val="1C3963"/>
          <w:sz w:val="25"/>
        </w:rPr>
        <w:t>Cadre mieux maîtrisé sur HSE, documentation, standards et conformité.</w:t>
      </w:r>
    </w:p>
    <w:p>
      <w:pPr>
        <w:pStyle w:val="ListBullet"/>
        <w:spacing w:after="20"/>
      </w:pPr>
      <w:r>
        <w:rPr>
          <w:rFonts w:ascii="Aptos" w:hAnsi="Aptos"/>
          <w:b w:val="0"/>
          <w:i w:val="0"/>
          <w:color w:val="1C3963"/>
          <w:sz w:val="25"/>
        </w:rPr>
        <w:t>Première feuille de route claire sur les usages IA à lancer en énergie et pétrole.</w:t>
      </w:r>
    </w:p>
    <w:p>
      <w:pPr>
        <w:keepNext/>
        <w:pageBreakBefore/>
        <w:spacing w:before="0" w:after="60"/>
      </w:pPr>
      <w:r>
        <w:rPr>
          <w:rFonts w:ascii="Aptos" w:hAnsi="Aptos"/>
          <w:b/>
          <w:i w:val="0"/>
          <w:color w:val="EF6C12"/>
          <w:sz w:val="36"/>
        </w:rPr>
        <w:t xml:space="preserve">▌ </w:t>
      </w:r>
      <w:r>
        <w:rPr>
          <w:rFonts w:ascii="Aptos Display" w:hAnsi="Aptos Display"/>
          <w:b/>
          <w:i w:val="0"/>
          <w:color w:val="1C3963"/>
          <w:sz w:val="39"/>
        </w:rPr>
        <w:t>02 - FORMULE PRIORITAIRE</w:t>
      </w:r>
    </w:p>
    <w:p>
      <w:pPr>
        <w:keepNext/>
        <w:spacing w:before="40" w:after="40"/>
      </w:pPr>
      <w:r>
        <w:rPr>
          <w:rFonts w:ascii="Aptos Display" w:hAnsi="Aptos Display"/>
          <w:b/>
          <w:i w:val="0"/>
          <w:color w:val="1C3963"/>
          <w:sz w:val="27"/>
        </w:rPr>
        <w:t>Intitulé</w:t>
      </w:r>
    </w:p>
    <w:p>
      <w:pPr>
        <w:spacing w:after="60"/>
      </w:pPr>
      <w:r>
        <w:rPr>
          <w:rFonts w:ascii="Aptos" w:hAnsi="Aptos"/>
          <w:b w:val="0"/>
          <w:i w:val="0"/>
          <w:color w:val="1C3963"/>
          <w:sz w:val="24"/>
        </w:rPr>
        <w:t>Bootcamp IA Énergie &amp; Pétrole : de l’acculturation utile au premier pilote mesurable.</w:t>
      </w:r>
    </w:p>
    <w:p>
      <w:pPr>
        <w:keepNext/>
        <w:spacing w:before="40" w:after="40"/>
      </w:pPr>
      <w:r>
        <w:rPr>
          <w:rFonts w:ascii="Aptos Display" w:hAnsi="Aptos Display"/>
          <w:b/>
          <w:i w:val="0"/>
          <w:color w:val="1C3963"/>
          <w:sz w:val="27"/>
        </w:rPr>
        <w:t>Public cible</w:t>
      </w:r>
    </w:p>
    <w:p>
      <w:pPr>
        <w:spacing w:after="60"/>
      </w:pPr>
      <w:r>
        <w:rPr>
          <w:rFonts w:ascii="Aptos" w:hAnsi="Aptos"/>
          <w:b w:val="0"/>
          <w:i w:val="0"/>
          <w:color w:val="1C3963"/>
          <w:sz w:val="24"/>
        </w:rPr>
        <w:t>Opérations, maintenance, HSE, finance, direction de site, coordination réseau et distribution.</w:t>
      </w:r>
    </w:p>
    <w:p>
      <w:pPr>
        <w:keepNext/>
        <w:spacing w:before="40" w:after="40"/>
      </w:pPr>
      <w:r>
        <w:rPr>
          <w:rFonts w:ascii="Aptos Display" w:hAnsi="Aptos Display"/>
          <w:b/>
          <w:i w:val="0"/>
          <w:color w:val="1C3963"/>
          <w:sz w:val="27"/>
        </w:rPr>
        <w:t>Formats possibles</w:t>
      </w:r>
    </w:p>
    <w:p>
      <w:pPr>
        <w:pStyle w:val="ListBullet"/>
        <w:spacing w:after="0"/>
      </w:pPr>
      <w:r>
        <w:rPr>
          <w:rFonts w:ascii="Aptos" w:hAnsi="Aptos"/>
          <w:b w:val="0"/>
          <w:i w:val="0"/>
          <w:color w:val="1C3963"/>
          <w:sz w:val="23"/>
        </w:rPr>
        <w:t>Présentiel</w:t>
      </w:r>
    </w:p>
    <w:p>
      <w:pPr>
        <w:pStyle w:val="ListBullet"/>
        <w:spacing w:after="0"/>
      </w:pPr>
      <w:r>
        <w:rPr>
          <w:rFonts w:ascii="Aptos" w:hAnsi="Aptos"/>
          <w:b w:val="0"/>
          <w:i w:val="0"/>
          <w:color w:val="1C3963"/>
          <w:sz w:val="23"/>
        </w:rPr>
        <w:t>Hybride</w:t>
      </w:r>
    </w:p>
    <w:p>
      <w:pPr>
        <w:pStyle w:val="ListBullet"/>
        <w:spacing w:after="0"/>
      </w:pPr>
      <w:r>
        <w:rPr>
          <w:rFonts w:ascii="Aptos" w:hAnsi="Aptos"/>
          <w:b w:val="0"/>
          <w:i w:val="0"/>
          <w:color w:val="1C3963"/>
          <w:sz w:val="23"/>
        </w:rPr>
        <w:t>En ligne (style webinaire)</w:t>
      </w:r>
    </w:p>
    <w:p>
      <w:pPr>
        <w:keepNext/>
        <w:spacing w:before="40" w:after="40"/>
      </w:pPr>
      <w:r>
        <w:rPr>
          <w:rFonts w:ascii="Aptos Display" w:hAnsi="Aptos Display"/>
          <w:b/>
          <w:i w:val="0"/>
          <w:color w:val="1C3963"/>
          <w:sz w:val="27"/>
        </w:rPr>
        <w:t>Niveaux</w:t>
      </w:r>
    </w:p>
    <w:p>
      <w:pPr>
        <w:pStyle w:val="ListBullet"/>
        <w:spacing w:after="0"/>
      </w:pPr>
      <w:r>
        <w:rPr>
          <w:rFonts w:ascii="Aptos" w:hAnsi="Aptos"/>
          <w:b w:val="0"/>
          <w:i w:val="0"/>
          <w:color w:val="1C3963"/>
          <w:sz w:val="23"/>
        </w:rPr>
        <w:t>Débutant</w:t>
      </w:r>
    </w:p>
    <w:p>
      <w:pPr>
        <w:pStyle w:val="ListBullet"/>
        <w:spacing w:after="0"/>
      </w:pPr>
      <w:r>
        <w:rPr>
          <w:rFonts w:ascii="Aptos" w:hAnsi="Aptos"/>
          <w:b w:val="0"/>
          <w:i w:val="0"/>
          <w:color w:val="1C3963"/>
          <w:sz w:val="23"/>
        </w:rPr>
        <w:t>Intermédiaire</w:t>
      </w:r>
    </w:p>
    <w:p>
      <w:pPr>
        <w:pStyle w:val="ListBullet"/>
        <w:spacing w:after="0"/>
      </w:pPr>
      <w:r>
        <w:rPr>
          <w:rFonts w:ascii="Aptos" w:hAnsi="Aptos"/>
          <w:b w:val="0"/>
          <w:i w:val="0"/>
          <w:color w:val="1C3963"/>
          <w:sz w:val="23"/>
        </w:rPr>
        <w:t>Avancé</w:t>
      </w:r>
    </w:p>
    <w:p>
      <w:pPr>
        <w:keepNext/>
        <w:spacing w:before="40" w:after="40"/>
      </w:pPr>
      <w:r>
        <w:rPr>
          <w:rFonts w:ascii="Aptos Display" w:hAnsi="Aptos Display"/>
          <w:b/>
          <w:i w:val="0"/>
          <w:color w:val="1C3963"/>
          <w:sz w:val="27"/>
        </w:rPr>
        <w:t>Durée</w:t>
      </w:r>
    </w:p>
    <w:p>
      <w:pPr>
        <w:pStyle w:val="ListBullet"/>
        <w:spacing w:after="0"/>
      </w:pPr>
      <w:r>
        <w:rPr>
          <w:rFonts w:ascii="Aptos" w:hAnsi="Aptos"/>
          <w:b w:val="0"/>
          <w:i w:val="0"/>
          <w:color w:val="1C3963"/>
          <w:sz w:val="23"/>
        </w:rPr>
        <w:t>1 jour : version décideurs et managers.</w:t>
      </w:r>
    </w:p>
    <w:p>
      <w:pPr>
        <w:pStyle w:val="ListBullet"/>
        <w:spacing w:after="0"/>
      </w:pPr>
      <w:r>
        <w:rPr>
          <w:rFonts w:ascii="Aptos" w:hAnsi="Aptos"/>
          <w:b w:val="0"/>
          <w:i w:val="0"/>
          <w:color w:val="1C3963"/>
          <w:sz w:val="23"/>
        </w:rPr>
        <w:t>2 jours : version équipes, managers et mise en pratique.</w:t>
      </w:r>
    </w:p>
    <w:p>
      <w:pPr>
        <w:keepNext/>
        <w:spacing w:before="40" w:after="40"/>
      </w:pPr>
      <w:r>
        <w:rPr>
          <w:rFonts w:ascii="Aptos Display" w:hAnsi="Aptos Display"/>
          <w:b/>
          <w:i w:val="0"/>
          <w:color w:val="1C3963"/>
          <w:sz w:val="27"/>
        </w:rPr>
        <w:t>Tarif</w:t>
      </w:r>
    </w:p>
    <w:p>
      <w:pPr>
        <w:spacing w:after="60"/>
      </w:pPr>
      <w:r>
        <w:rPr>
          <w:rFonts w:ascii="Aptos" w:hAnsi="Aptos"/>
          <w:b w:val="0"/>
          <w:i w:val="0"/>
          <w:color w:val="1C3963"/>
          <w:sz w:val="24"/>
        </w:rPr>
        <w:t>Prix sur demande.</w:t>
      </w:r>
    </w:p>
    <w:p>
      <w:pPr>
        <w:keepNext/>
        <w:spacing w:before="40" w:after="40"/>
      </w:pPr>
      <w:r>
        <w:rPr>
          <w:rFonts w:ascii="Aptos Display" w:hAnsi="Aptos Display"/>
          <w:b/>
          <w:i w:val="0"/>
          <w:color w:val="1C3963"/>
          <w:sz w:val="27"/>
        </w:rPr>
        <w:t>Objectifs pédagogiques</w:t>
      </w:r>
    </w:p>
    <w:p>
      <w:pPr>
        <w:pStyle w:val="ListBullet"/>
        <w:spacing w:after="0"/>
      </w:pPr>
      <w:r>
        <w:rPr>
          <w:rFonts w:ascii="Aptos" w:hAnsi="Aptos"/>
          <w:b w:val="0"/>
          <w:i w:val="0"/>
          <w:color w:val="1C3963"/>
          <w:sz w:val="23"/>
        </w:rPr>
        <w:t>Identifier les priorités métier les plus crédibles à traiter par l’IA dans l’énergie et le pétrole.</w:t>
      </w:r>
    </w:p>
    <w:p>
      <w:pPr>
        <w:pStyle w:val="ListBullet"/>
        <w:spacing w:after="0"/>
      </w:pPr>
      <w:r>
        <w:rPr>
          <w:rFonts w:ascii="Aptos" w:hAnsi="Aptos"/>
          <w:b w:val="0"/>
          <w:i w:val="0"/>
          <w:color w:val="1C3963"/>
          <w:sz w:val="23"/>
        </w:rPr>
        <w:t>Structurer les usages liés au pilotage des comptes, à la maintenance assistée, au service client réseau et à la conformité HSE.</w:t>
      </w:r>
    </w:p>
    <w:p>
      <w:pPr>
        <w:pStyle w:val="ListBullet"/>
        <w:spacing w:after="0"/>
      </w:pPr>
      <w:r>
        <w:rPr>
          <w:rFonts w:ascii="Aptos" w:hAnsi="Aptos"/>
          <w:b w:val="0"/>
          <w:i w:val="0"/>
          <w:color w:val="1C3963"/>
          <w:sz w:val="23"/>
        </w:rPr>
        <w:t>Distinguer les usages activables rapidement, ceux à encadrer et ceux à piloter dans le temps.</w:t>
      </w:r>
    </w:p>
    <w:p>
      <w:pPr>
        <w:pStyle w:val="ListBullet"/>
        <w:spacing w:after="0"/>
      </w:pPr>
      <w:r>
        <w:rPr>
          <w:rFonts w:ascii="Aptos" w:hAnsi="Aptos"/>
          <w:b w:val="0"/>
          <w:i w:val="0"/>
          <w:color w:val="1C3963"/>
          <w:sz w:val="23"/>
        </w:rPr>
        <w:t>Définir des KPI simples, un cadre de confiance et un premier plan d’action à 90 jours.</w:t>
      </w:r>
    </w:p>
    <w:p>
      <w:pPr>
        <w:keepNext/>
        <w:spacing w:before="40" w:after="40"/>
      </w:pPr>
      <w:r>
        <w:rPr>
          <w:rFonts w:ascii="Aptos Display" w:hAnsi="Aptos Display"/>
          <w:b/>
          <w:i w:val="0"/>
          <w:color w:val="1C3963"/>
          <w:sz w:val="27"/>
        </w:rPr>
        <w:t>Formations proposées</w:t>
      </w:r>
    </w:p>
    <w:p>
      <w:pPr>
        <w:pStyle w:val="ListBullet"/>
        <w:spacing w:after="0"/>
      </w:pPr>
      <w:r>
        <w:rPr>
          <w:rFonts w:ascii="Aptos" w:hAnsi="Aptos"/>
          <w:b w:val="0"/>
          <w:i w:val="0"/>
          <w:color w:val="1C3963"/>
          <w:sz w:val="23"/>
        </w:rPr>
        <w:t>Pilotage des comptes professionnels et de la performance.</w:t>
      </w:r>
    </w:p>
    <w:p>
      <w:pPr>
        <w:pStyle w:val="ListBullet"/>
        <w:spacing w:after="0"/>
      </w:pPr>
      <w:r>
        <w:rPr>
          <w:rFonts w:ascii="Aptos" w:hAnsi="Aptos"/>
          <w:b w:val="0"/>
          <w:i w:val="0"/>
          <w:color w:val="1C3963"/>
          <w:sz w:val="23"/>
        </w:rPr>
        <w:t>Maintenance, support prédictif et incidents.</w:t>
      </w:r>
    </w:p>
    <w:p>
      <w:pPr>
        <w:pStyle w:val="ListBullet"/>
        <w:spacing w:after="0"/>
      </w:pPr>
      <w:r>
        <w:rPr>
          <w:rFonts w:ascii="Aptos" w:hAnsi="Aptos"/>
          <w:b w:val="0"/>
          <w:i w:val="0"/>
          <w:color w:val="1C3963"/>
          <w:sz w:val="23"/>
        </w:rPr>
        <w:t>Service client et réseau de distribution.</w:t>
      </w:r>
    </w:p>
    <w:p>
      <w:pPr>
        <w:pStyle w:val="ListBullet"/>
        <w:spacing w:after="0"/>
      </w:pPr>
      <w:r>
        <w:rPr>
          <w:rFonts w:ascii="Aptos" w:hAnsi="Aptos"/>
          <w:b w:val="0"/>
          <w:i w:val="0"/>
          <w:color w:val="1C3963"/>
          <w:sz w:val="23"/>
        </w:rPr>
        <w:t>Conformité HSE et gouvernance documentaire.</w:t>
      </w:r>
    </w:p>
    <w:p>
      <w:pPr>
        <w:pStyle w:val="ListBullet"/>
        <w:spacing w:after="0"/>
      </w:pPr>
      <w:r>
        <w:rPr>
          <w:rFonts w:ascii="Aptos" w:hAnsi="Aptos"/>
          <w:b w:val="0"/>
          <w:i w:val="0"/>
          <w:color w:val="1C3963"/>
          <w:sz w:val="23"/>
        </w:rPr>
        <w:t>Cadre de confiance, gouvernance et supervision humaine des usages IA.</w:t>
      </w:r>
    </w:p>
    <w:p>
      <w:pPr>
        <w:keepNext/>
        <w:pageBreakBefore/>
        <w:spacing w:before="0" w:after="60"/>
      </w:pPr>
      <w:r>
        <w:rPr>
          <w:rFonts w:ascii="Aptos" w:hAnsi="Aptos"/>
          <w:b/>
          <w:i w:val="0"/>
          <w:color w:val="EF6C12"/>
          <w:sz w:val="36"/>
        </w:rPr>
        <w:t xml:space="preserve">▌ </w:t>
      </w:r>
      <w:r>
        <w:rPr>
          <w:rFonts w:ascii="Aptos Display" w:hAnsi="Aptos Display"/>
          <w:b/>
          <w:i w:val="0"/>
          <w:color w:val="1C3963"/>
          <w:sz w:val="39"/>
        </w:rPr>
        <w:t>03 - PROGRAMME PROPOSÉ</w:t>
      </w:r>
    </w:p>
    <w:p>
      <w:pPr>
        <w:keepNext/>
        <w:spacing w:before="100" w:after="60"/>
      </w:pPr>
      <w:r>
        <w:rPr>
          <w:rFonts w:ascii="Aptos Display" w:hAnsi="Aptos Display"/>
          <w:b/>
          <w:i w:val="0"/>
          <w:color w:val="1C3963"/>
          <w:sz w:val="30"/>
        </w:rPr>
        <w:t>Jour 1</w:t>
      </w:r>
    </w:p>
    <w:p>
      <w:pPr>
        <w:pStyle w:val="ListBullet"/>
        <w:spacing w:after="0"/>
      </w:pPr>
      <w:r>
        <w:rPr>
          <w:rFonts w:ascii="Aptos" w:hAnsi="Aptos"/>
          <w:b w:val="0"/>
          <w:i w:val="0"/>
          <w:color w:val="1C3963"/>
          <w:sz w:val="23"/>
        </w:rPr>
        <w:t>Lecture des enjeux énergie et pétrole, cartographie des irritants prioritaires et sélection des premiers gains visés.</w:t>
      </w:r>
    </w:p>
    <w:p>
      <w:pPr>
        <w:pStyle w:val="ListBullet"/>
        <w:spacing w:after="0"/>
      </w:pPr>
      <w:r>
        <w:rPr>
          <w:rFonts w:ascii="Aptos" w:hAnsi="Aptos"/>
          <w:b w:val="0"/>
          <w:i w:val="0"/>
          <w:color w:val="1C3963"/>
          <w:sz w:val="23"/>
        </w:rPr>
        <w:t>Études de cas guidées sur le pilotage des comptes et la maintenance assistée.</w:t>
      </w:r>
    </w:p>
    <w:p>
      <w:pPr>
        <w:pStyle w:val="ListBullet"/>
        <w:spacing w:after="0"/>
      </w:pPr>
      <w:r>
        <w:rPr>
          <w:rFonts w:ascii="Aptos" w:hAnsi="Aptos"/>
          <w:b w:val="0"/>
          <w:i w:val="0"/>
          <w:color w:val="1C3963"/>
          <w:sz w:val="23"/>
        </w:rPr>
        <w:t>Méthodes, prompts, routines et gestes métier autour des alertes, synthèses, dossiers et flux critiques.</w:t>
      </w:r>
    </w:p>
    <w:p>
      <w:pPr>
        <w:pStyle w:val="ListBullet"/>
        <w:spacing w:after="0"/>
      </w:pPr>
      <w:r>
        <w:rPr>
          <w:rFonts w:ascii="Aptos" w:hAnsi="Aptos"/>
          <w:b w:val="0"/>
          <w:i w:val="0"/>
          <w:color w:val="1C3963"/>
          <w:sz w:val="23"/>
        </w:rPr>
        <w:t>Cadre de confiance : confidentialité, validation managériale, supervision humaine et critères d’extension.</w:t>
      </w:r>
    </w:p>
    <w:p>
      <w:pPr>
        <w:keepNext/>
        <w:spacing w:before="100" w:after="60"/>
      </w:pPr>
      <w:r>
        <w:rPr>
          <w:rFonts w:ascii="Aptos Display" w:hAnsi="Aptos Display"/>
          <w:b/>
          <w:i w:val="0"/>
          <w:color w:val="1C3963"/>
          <w:sz w:val="30"/>
        </w:rPr>
        <w:t>Jour 2</w:t>
      </w:r>
    </w:p>
    <w:p>
      <w:pPr>
        <w:pStyle w:val="ListBullet"/>
        <w:spacing w:after="0"/>
      </w:pPr>
      <w:r>
        <w:rPr>
          <w:rFonts w:ascii="Aptos" w:hAnsi="Aptos"/>
          <w:b w:val="0"/>
          <w:i w:val="0"/>
          <w:color w:val="1C3963"/>
          <w:sz w:val="23"/>
        </w:rPr>
        <w:t>Ateliers de conception sur le service client réseau, la conformité HSE et la gouvernance documentaire.</w:t>
      </w:r>
    </w:p>
    <w:p>
      <w:pPr>
        <w:pStyle w:val="ListBullet"/>
        <w:spacing w:after="0"/>
      </w:pPr>
      <w:r>
        <w:rPr>
          <w:rFonts w:ascii="Aptos" w:hAnsi="Aptos"/>
          <w:b w:val="0"/>
          <w:i w:val="0"/>
          <w:color w:val="1C3963"/>
          <w:sz w:val="23"/>
        </w:rPr>
        <w:t>Construction d’un premier canevas de pilote, des KPI de suivi et des livrables attendus.</w:t>
      </w:r>
    </w:p>
    <w:p>
      <w:pPr>
        <w:pStyle w:val="ListBullet"/>
        <w:spacing w:after="0"/>
      </w:pPr>
      <w:r>
        <w:rPr>
          <w:rFonts w:ascii="Aptos" w:hAnsi="Aptos"/>
          <w:b w:val="0"/>
          <w:i w:val="0"/>
          <w:color w:val="1C3963"/>
          <w:sz w:val="23"/>
        </w:rPr>
        <w:t>Approfondissements recommandés : performance, maintenance, qualité documentaire et lecture des KPI.</w:t>
      </w:r>
    </w:p>
    <w:p>
      <w:pPr>
        <w:pStyle w:val="ListBullet"/>
        <w:spacing w:after="0"/>
      </w:pPr>
      <w:r>
        <w:rPr>
          <w:rFonts w:ascii="Aptos" w:hAnsi="Aptos"/>
          <w:b w:val="0"/>
          <w:i w:val="0"/>
          <w:color w:val="1C3963"/>
          <w:sz w:val="23"/>
        </w:rPr>
        <w:t>Plan d’action à 90 jours : gouvernance, équipes à former, priorités de déploiement et décision d’extension.</w:t>
      </w:r>
    </w:p>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04 - LIVRABLES ATTENDUS</w:t>
      </w:r>
    </w:p>
    <w:p>
      <w:pPr>
        <w:pStyle w:val="ListBullet"/>
        <w:spacing w:after="0"/>
      </w:pPr>
      <w:r>
        <w:rPr>
          <w:rFonts w:ascii="Aptos" w:hAnsi="Aptos"/>
          <w:b w:val="0"/>
          <w:i w:val="0"/>
          <w:color w:val="1C3963"/>
          <w:sz w:val="23"/>
        </w:rPr>
        <w:t>Une note de cadrage énergie et pétrole avec priorités confirmées, risques, points de vigilance et premières décisions.</w:t>
      </w:r>
    </w:p>
    <w:p>
      <w:pPr>
        <w:pStyle w:val="ListBullet"/>
        <w:spacing w:after="0"/>
      </w:pPr>
      <w:r>
        <w:rPr>
          <w:rFonts w:ascii="Aptos" w:hAnsi="Aptos"/>
          <w:b w:val="0"/>
          <w:i w:val="0"/>
          <w:color w:val="1C3963"/>
          <w:sz w:val="23"/>
        </w:rPr>
        <w:t>Une matrice des usages prioritaires applicable au pilotage des comptes, à la maintenance, au service client réseau et à la conformité HSE.</w:t>
      </w:r>
    </w:p>
    <w:p>
      <w:pPr>
        <w:pStyle w:val="ListBullet"/>
        <w:spacing w:after="0"/>
      </w:pPr>
      <w:r>
        <w:rPr>
          <w:rFonts w:ascii="Aptos" w:hAnsi="Aptos"/>
          <w:b w:val="0"/>
          <w:i w:val="0"/>
          <w:color w:val="1C3963"/>
          <w:sz w:val="23"/>
        </w:rPr>
        <w:t>Un canevas de pilote à 90 jours avec KPI, rôles, supervision et critères de succès.</w:t>
      </w:r>
    </w:p>
    <w:p>
      <w:pPr>
        <w:pStyle w:val="ListBullet"/>
        <w:spacing w:after="0"/>
      </w:pPr>
      <w:r>
        <w:rPr>
          <w:rFonts w:ascii="Aptos" w:hAnsi="Aptos"/>
          <w:b w:val="0"/>
          <w:i w:val="0"/>
          <w:color w:val="1C3963"/>
          <w:sz w:val="23"/>
        </w:rPr>
        <w:t>Une recommandation de parcours de montée en compétences pour les décideurs et équipes opérations ciblées.</w:t>
      </w:r>
    </w:p>
    <w:p>
      <w:pPr>
        <w:keepNext/>
        <w:pageBreakBefore w:val="0"/>
        <w:spacing w:before="160" w:after="60"/>
      </w:pPr>
      <w:r>
        <w:rPr>
          <w:rFonts w:ascii="Aptos" w:hAnsi="Aptos"/>
          <w:b/>
          <w:i w:val="0"/>
          <w:color w:val="EF6C12"/>
          <w:sz w:val="36"/>
        </w:rPr>
        <w:t xml:space="preserve">▌ </w:t>
      </w:r>
      <w:r>
        <w:rPr>
          <w:rFonts w:ascii="Aptos Display" w:hAnsi="Aptos Display"/>
          <w:b/>
          <w:i w:val="0"/>
          <w:color w:val="1C3963"/>
          <w:sz w:val="39"/>
        </w:rPr>
        <w:t>05 - DOMAINES DE RÉFÉRENCE</w:t>
      </w:r>
    </w:p>
    <w:p>
      <w:pPr>
        <w:pStyle w:val="ListBullet"/>
        <w:spacing w:after="0"/>
      </w:pPr>
      <w:r>
        <w:rPr>
          <w:rFonts w:ascii="Aptos" w:hAnsi="Aptos"/>
          <w:b w:val="0"/>
          <w:i w:val="0"/>
          <w:color w:val="1C3963"/>
          <w:sz w:val="23"/>
        </w:rPr>
        <w:t>Pilotage des comptes et de la performance</w:t>
      </w:r>
    </w:p>
    <w:p>
      <w:pPr>
        <w:pStyle w:val="ListBullet"/>
        <w:spacing w:after="0"/>
      </w:pPr>
      <w:r>
        <w:rPr>
          <w:rFonts w:ascii="Aptos" w:hAnsi="Aptos"/>
          <w:b w:val="0"/>
          <w:i w:val="0"/>
          <w:color w:val="1C3963"/>
          <w:sz w:val="23"/>
        </w:rPr>
        <w:t>Maintenance et support prédictif</w:t>
      </w:r>
    </w:p>
    <w:p>
      <w:pPr>
        <w:pStyle w:val="ListBullet"/>
        <w:spacing w:after="0"/>
      </w:pPr>
      <w:r>
        <w:rPr>
          <w:rFonts w:ascii="Aptos" w:hAnsi="Aptos"/>
          <w:b w:val="0"/>
          <w:i w:val="0"/>
          <w:color w:val="1C3963"/>
          <w:sz w:val="23"/>
        </w:rPr>
        <w:t>Service client et réseau de distribution</w:t>
      </w:r>
    </w:p>
    <w:p>
      <w:pPr>
        <w:pStyle w:val="ListBullet"/>
        <w:spacing w:after="0"/>
      </w:pPr>
      <w:r>
        <w:rPr>
          <w:rFonts w:ascii="Aptos" w:hAnsi="Aptos"/>
          <w:b w:val="0"/>
          <w:i w:val="0"/>
          <w:color w:val="1C3963"/>
          <w:sz w:val="23"/>
        </w:rPr>
        <w:t>Conformité HSE et gouvernance documentaire</w:t>
      </w:r>
    </w:p>
    <w:p>
      <w:pPr>
        <w:pStyle w:val="ListBullet"/>
        <w:spacing w:after="0"/>
      </w:pPr>
      <w:r>
        <w:rPr>
          <w:rFonts w:ascii="Aptos" w:hAnsi="Aptos"/>
          <w:b w:val="0"/>
          <w:i w:val="0"/>
          <w:color w:val="1C3963"/>
          <w:sz w:val="23"/>
        </w:rPr>
        <w:t>Opérations critiques, réseau et coordination de site</w:t>
      </w:r>
    </w:p>
    <w:sectPr w:rsidR="00FC693F" w:rsidRPr="0006063C" w:rsidSect="00034616">
      <w:footerReference w:type="default" r:id="rId9"/>
      <w:pgSz w:w="11906" w:h="16838"/>
      <w:pgMar w:top="113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B7C93"/>
        <w:sz w:val="17"/>
      </w:rPr>
      <w:t>TransferAI Africa | www.transferai.ci | IA Assistant / WhatsApp : +225 07 16 57 39 90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