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right"/>
      </w:pPr>
      <w:r>
        <w:rPr>
          <w:rFonts w:ascii="Aptos" w:hAnsi="Aptos"/>
          <w:b w:val="0"/>
          <w:i w:val="0"/>
          <w:color w:val="6B7C93"/>
          <w:sz w:val="23"/>
        </w:rPr>
        <w:t>Mini-catalogue sectoriel | IA métier, formation et accompagnement</w:t>
      </w:r>
    </w:p>
    <w:p>
      <w:pPr>
        <w:spacing w:after="0"/>
      </w:pPr>
      <w:r>
        <w:rPr>
          <w:rFonts w:ascii="Aptos Display" w:hAnsi="Aptos Display"/>
          <w:b/>
          <w:i w:val="0"/>
          <w:color w:val="EF6C12"/>
          <w:sz w:val="36"/>
        </w:rPr>
        <w:t>MINI-CATALOGUE</w:t>
      </w:r>
    </w:p>
    <w:p>
      <w:pPr>
        <w:spacing w:after="40"/>
      </w:pPr>
      <w:r>
        <w:rPr>
          <w:rFonts w:ascii="Aptos Display" w:hAnsi="Aptos Display"/>
          <w:b/>
          <w:i w:val="0"/>
          <w:color w:val="1C3963"/>
          <w:sz w:val="52"/>
        </w:rPr>
        <w:t>SOLUTIONS IA ET FORMATIONS STRATÉGIQUES</w:t>
      </w:r>
    </w:p>
    <w:p>
      <w:pPr>
        <w:spacing w:after="320"/>
      </w:pPr>
      <w:r>
        <w:rPr>
          <w:rFonts w:ascii="Aptos Display" w:hAnsi="Aptos Display"/>
          <w:b/>
          <w:i w:val="0"/>
          <w:color w:val="1C8A78"/>
          <w:sz w:val="38"/>
        </w:rPr>
        <w:t>pour les directions data, BI et performance</w:t>
      </w:r>
    </w:p>
    <w:p>
      <w:pPr>
        <w:spacing w:after="60"/>
      </w:pPr>
      <w:r>
        <w:rPr>
          <w:rFonts w:ascii="Aptos" w:hAnsi="Aptos"/>
          <w:b w:val="0"/>
          <w:i w:val="0"/>
          <w:color w:val="6B7C93"/>
          <w:sz w:val="25"/>
        </w:rPr>
        <w:t>Data · BI · Reporting · Performance · Contrôle · Décision</w:t>
      </w:r>
    </w:p>
    <w:p>
      <w:pPr>
        <w:spacing w:after="60"/>
      </w:pPr>
      <w:r>
        <w:rPr>
          <w:rFonts w:ascii="Aptos" w:hAnsi="Aptos"/>
          <w:b w:val="0"/>
          <w:i w:val="0"/>
          <w:color w:val="6B7C93"/>
          <w:sz w:val="25"/>
        </w:rPr>
        <w:t>Document de présentation sectoriel | Présentiel · Hybride · En ligne</w:t>
      </w:r>
    </w:p>
    <w:p>
      <w:pPr>
        <w:keepNext/>
        <w:pageBreakBefore w:val="0"/>
        <w:spacing w:before="200" w:after="60"/>
      </w:pPr>
      <w:r>
        <w:rPr>
          <w:rFonts w:ascii="Aptos" w:hAnsi="Aptos"/>
          <w:b/>
          <w:i w:val="0"/>
          <w:color w:val="EF6C12"/>
          <w:sz w:val="36"/>
        </w:rPr>
        <w:t xml:space="preserve">▌ </w:t>
      </w:r>
      <w:r>
        <w:rPr>
          <w:rFonts w:ascii="Aptos Display" w:hAnsi="Aptos Display"/>
          <w:b/>
          <w:i w:val="0"/>
          <w:color w:val="1C3963"/>
          <w:sz w:val="39"/>
        </w:rPr>
        <w:t>PROMESSE CENTRALE</w:t>
      </w:r>
    </w:p>
    <w:p>
      <w:pPr>
        <w:spacing w:after="60"/>
      </w:pPr>
      <w:r>
        <w:rPr>
          <w:rFonts w:ascii="Aptos" w:hAnsi="Aptos"/>
          <w:b w:val="0"/>
          <w:i w:val="0"/>
          <w:color w:val="1C3963"/>
          <w:sz w:val="26"/>
        </w:rPr>
        <w:t>Transformer l’IA en usages concrets, activables et gouvernés pour fluidifier les processus clés, renforcer la coordination et générer des gains de temps mesurables.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POSITIONNEMENT DE L’OFFRE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Proposition ciblée</w:t>
            </w:r>
          </w:p>
          <w:p>
            <w:pPr>
              <w:spacing w:after="0"/>
            </w:pPr>
            <w:r>
              <w:rPr>
                <w:rFonts w:ascii="Aptos" w:hAnsi="Aptos"/>
                <w:b w:val="0"/>
                <w:i w:val="0"/>
                <w:color w:val="1C3963"/>
                <w:sz w:val="25"/>
              </w:rPr>
              <w:t>TransferAI propose une trajectoire simple et pilotable : identifier les usages prioritaires et lancer un premier pilote mesurable autour de commentaires automatiques de tableaux de bord, de préparation et nettoyage assistés ou de BI plus pédagogique pour les métiers.</w:t>
            </w:r>
          </w:p>
        </w:tc>
      </w:tr>
    </w:tbl>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BÉNÉFICES MÉTIER VISIBLES</w:t>
      </w:r>
    </w:p>
    <w:p>
      <w:pPr>
        <w:pStyle w:val="ListBullet"/>
        <w:spacing w:after="20"/>
      </w:pPr>
      <w:r>
        <w:rPr>
          <w:rFonts w:ascii="Aptos" w:hAnsi="Aptos"/>
          <w:b w:val="0"/>
          <w:i w:val="0"/>
          <w:color w:val="1C3963"/>
          <w:sz w:val="24"/>
        </w:rPr>
        <w:t>Des synthèses claires aident à comprendre rapidement les écarts, alertes et priorités.</w:t>
      </w:r>
    </w:p>
    <w:p>
      <w:pPr>
        <w:pStyle w:val="ListBullet"/>
        <w:spacing w:after="20"/>
      </w:pPr>
      <w:r>
        <w:rPr>
          <w:rFonts w:ascii="Aptos" w:hAnsi="Aptos"/>
          <w:b w:val="0"/>
          <w:i w:val="0"/>
          <w:color w:val="1C3963"/>
          <w:sz w:val="24"/>
        </w:rPr>
        <w:t>Les équipes accélèrent la documentation, le nettoyage et les requêtes récurrentes.</w:t>
      </w:r>
    </w:p>
    <w:p>
      <w:pPr>
        <w:pStyle w:val="ListBullet"/>
        <w:spacing w:after="20"/>
      </w:pPr>
      <w:r>
        <w:rPr>
          <w:rFonts w:ascii="Aptos" w:hAnsi="Aptos"/>
          <w:b w:val="0"/>
          <w:i w:val="0"/>
          <w:color w:val="1C3963"/>
          <w:sz w:val="24"/>
        </w:rPr>
        <w:t>Les sorties deviennent plus pédagogiques avec des recommandations de lecture mieux formulées.</w:t>
      </w:r>
    </w:p>
    <w:p>
      <w:pPr>
        <w:pStyle w:val="ListBullet"/>
        <w:spacing w:after="20"/>
      </w:pPr>
      <w:r>
        <w:rPr>
          <w:rFonts w:ascii="Aptos" w:hAnsi="Aptos"/>
          <w:b w:val="0"/>
          <w:i w:val="0"/>
          <w:color w:val="1C3963"/>
          <w:sz w:val="24"/>
        </w:rPr>
        <w:t>Les référentiels deviennent plus faciles à documenter, relire et partager.</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01 - SYNTHÈSE EXÉCUTIVE DATA &amp; ANALYSE</w:t>
      </w:r>
    </w:p>
    <w:p>
      <w:pPr>
        <w:spacing w:after="60"/>
      </w:pPr>
      <w:r>
        <w:rPr>
          <w:rFonts w:ascii="Aptos" w:hAnsi="Aptos"/>
          <w:b w:val="0"/>
          <w:i w:val="0"/>
          <w:color w:val="1C3963"/>
          <w:sz w:val="25"/>
        </w:rPr>
        <w:t>Dans la data et l’analyse, la valeur de l’IA se mesure d’abord dans la réduction des délais, la qualité des synthèses et une meilleure coordination des décisions.</w:t>
      </w:r>
    </w:p>
    <w:p>
      <w:pPr>
        <w:keepNext/>
        <w:spacing w:before="100" w:after="60"/>
      </w:pPr>
      <w:r>
        <w:rPr>
          <w:rFonts w:ascii="Aptos Display" w:hAnsi="Aptos Display"/>
          <w:b/>
          <w:i w:val="0"/>
          <w:color w:val="1C3963"/>
          <w:sz w:val="30"/>
        </w:rPr>
        <w:t>Priorités métier les plus crédibles</w:t>
      </w:r>
    </w:p>
    <w:p>
      <w:pPr>
        <w:pStyle w:val="ListBullet"/>
        <w:spacing w:after="20"/>
      </w:pPr>
      <w:r>
        <w:rPr>
          <w:rFonts w:ascii="Aptos" w:hAnsi="Aptos"/>
          <w:b w:val="0"/>
          <w:i w:val="0"/>
          <w:color w:val="1C3963"/>
          <w:sz w:val="25"/>
        </w:rPr>
        <w:t>Les tableaux existent mais demandent encore beaucoup d’efforts pour être compris et actionnés.</w:t>
      </w:r>
    </w:p>
    <w:p>
      <w:pPr>
        <w:pStyle w:val="ListBullet"/>
        <w:spacing w:after="20"/>
      </w:pPr>
      <w:r>
        <w:rPr>
          <w:rFonts w:ascii="Aptos" w:hAnsi="Aptos"/>
          <w:b w:val="0"/>
          <w:i w:val="0"/>
          <w:color w:val="1C3963"/>
          <w:sz w:val="25"/>
        </w:rPr>
        <w:t>Le nettoyage, la documentation et les requêtes récurrentes consomment trop de bande passante experte.</w:t>
      </w:r>
    </w:p>
    <w:p>
      <w:pPr>
        <w:pStyle w:val="ListBullet"/>
        <w:spacing w:after="20"/>
      </w:pPr>
      <w:r>
        <w:rPr>
          <w:rFonts w:ascii="Aptos" w:hAnsi="Aptos"/>
          <w:b w:val="0"/>
          <w:i w:val="0"/>
          <w:color w:val="1C3963"/>
          <w:sz w:val="25"/>
        </w:rPr>
        <w:t>Les métiers dépendent fortement de quelques profils data pour répondre aux questions simples.</w:t>
      </w:r>
    </w:p>
    <w:p>
      <w:pPr>
        <w:pStyle w:val="ListBullet"/>
        <w:spacing w:after="20"/>
      </w:pPr>
      <w:r>
        <w:rPr>
          <w:rFonts w:ascii="Aptos" w:hAnsi="Aptos"/>
          <w:b w:val="0"/>
          <w:i w:val="0"/>
          <w:color w:val="1C3963"/>
          <w:sz w:val="25"/>
        </w:rPr>
        <w:t>Les sources, définitions et usages ne sont pas toujours suffisamment cadrés.</w:t>
      </w:r>
    </w:p>
    <w:p>
      <w:pPr>
        <w:keepNext/>
        <w:spacing w:before="100" w:after="60"/>
      </w:pPr>
      <w:r>
        <w:rPr>
          <w:rFonts w:ascii="Aptos Display" w:hAnsi="Aptos Display"/>
          <w:b/>
          <w:i w:val="0"/>
          <w:color w:val="1C3963"/>
          <w:sz w:val="30"/>
        </w:rPr>
        <w:t>KPI de référence</w:t>
      </w:r>
    </w:p>
    <w:p>
      <w:pPr>
        <w:pStyle w:val="ListBullet"/>
        <w:spacing w:after="20"/>
      </w:pPr>
      <w:r>
        <w:rPr>
          <w:rFonts w:ascii="Aptos" w:hAnsi="Aptos"/>
          <w:b w:val="0"/>
          <w:i w:val="0"/>
          <w:color w:val="1C3963"/>
          <w:sz w:val="25"/>
        </w:rPr>
        <w:t>Temps de lecture des KPI ; délai d’arbitrage.</w:t>
      </w:r>
    </w:p>
    <w:p>
      <w:pPr>
        <w:pStyle w:val="ListBullet"/>
        <w:spacing w:after="20"/>
      </w:pPr>
      <w:r>
        <w:rPr>
          <w:rFonts w:ascii="Aptos" w:hAnsi="Aptos"/>
          <w:b w:val="0"/>
          <w:i w:val="0"/>
          <w:color w:val="1C3963"/>
          <w:sz w:val="25"/>
        </w:rPr>
        <w:t>Temps de préparation ; nombre d’itérations évitées.</w:t>
      </w:r>
    </w:p>
    <w:p>
      <w:pPr>
        <w:pStyle w:val="ListBullet"/>
        <w:spacing w:after="20"/>
      </w:pPr>
      <w:r>
        <w:rPr>
          <w:rFonts w:ascii="Aptos" w:hAnsi="Aptos"/>
          <w:b w:val="0"/>
          <w:i w:val="0"/>
          <w:color w:val="1C3963"/>
          <w:sz w:val="25"/>
        </w:rPr>
        <w:t>Taux d’usage des dashboards ; nombre de décisions soutenues.</w:t>
      </w:r>
    </w:p>
    <w:p>
      <w:pPr>
        <w:pStyle w:val="ListBullet"/>
        <w:spacing w:after="20"/>
      </w:pPr>
      <w:r>
        <w:rPr>
          <w:rFonts w:ascii="Aptos" w:hAnsi="Aptos"/>
          <w:b w:val="0"/>
          <w:i w:val="0"/>
          <w:color w:val="1C3963"/>
          <w:sz w:val="25"/>
        </w:rPr>
        <w:t>Temps de documentation ; cohérence des définitions.</w:t>
      </w:r>
    </w:p>
    <w:p>
      <w:pPr>
        <w:keepNext/>
        <w:spacing w:before="100" w:after="60"/>
      </w:pPr>
      <w:r>
        <w:rPr>
          <w:rFonts w:ascii="Aptos Display" w:hAnsi="Aptos Display"/>
          <w:b/>
          <w:i w:val="0"/>
          <w:color w:val="1C3963"/>
          <w:sz w:val="30"/>
        </w:rPr>
        <w:t>Approche recommandée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Séquence recommandée</w:t>
            </w:r>
          </w:p>
          <w:p>
            <w:pPr>
              <w:spacing w:after="0"/>
            </w:pPr>
            <w:r>
              <w:rPr>
                <w:rFonts w:ascii="Aptos" w:hAnsi="Aptos"/>
                <w:b w:val="0"/>
                <w:i w:val="0"/>
                <w:color w:val="1C3963"/>
                <w:sz w:val="25"/>
              </w:rPr>
              <w:t>Audit IA gratuit, cadrage de deux priorités, bootcamp ciblé pour décideurs et équipes data et analyse, puis accompagnement sur 90 jours avec KPI simples et supervision humaine.</w:t>
            </w:r>
          </w:p>
        </w:tc>
      </w:tr>
    </w:tbl>
    <w:p>
      <w:pPr>
        <w:keepNext/>
        <w:spacing w:before="100" w:after="60"/>
      </w:pPr>
      <w:r>
        <w:rPr>
          <w:rFonts w:ascii="Aptos Display" w:hAnsi="Aptos Display"/>
          <w:b/>
          <w:i w:val="0"/>
          <w:color w:val="1C3963"/>
          <w:sz w:val="30"/>
        </w:rPr>
        <w:t>Résultats attendus</w:t>
      </w:r>
    </w:p>
    <w:p>
      <w:pPr>
        <w:pStyle w:val="ListBullet"/>
        <w:spacing w:after="20"/>
      </w:pPr>
      <w:r>
        <w:rPr>
          <w:rFonts w:ascii="Aptos" w:hAnsi="Aptos"/>
          <w:b w:val="0"/>
          <w:i w:val="0"/>
          <w:color w:val="1C3963"/>
          <w:sz w:val="25"/>
        </w:rPr>
        <w:t>25 à 45 % sur le temps de reporting (commentaires, synthèses, notes).</w:t>
      </w:r>
    </w:p>
    <w:p>
      <w:pPr>
        <w:pStyle w:val="ListBullet"/>
        <w:spacing w:after="20"/>
      </w:pPr>
      <w:r>
        <w:rPr>
          <w:rFonts w:ascii="Aptos" w:hAnsi="Aptos"/>
          <w:b w:val="0"/>
          <w:i w:val="0"/>
          <w:color w:val="1C3963"/>
          <w:sz w:val="25"/>
        </w:rPr>
        <w:t>Lecture plus rapide des écarts KPI (pour managers et direction).</w:t>
      </w:r>
    </w:p>
    <w:p>
      <w:pPr>
        <w:pStyle w:val="ListBullet"/>
        <w:spacing w:after="20"/>
      </w:pPr>
      <w:r>
        <w:rPr>
          <w:rFonts w:ascii="Aptos" w:hAnsi="Aptos"/>
          <w:b w:val="0"/>
          <w:i w:val="0"/>
          <w:color w:val="1C3963"/>
          <w:sz w:val="25"/>
        </w:rPr>
        <w:t>Feuille de route initiale des usages IA prioritaires du secteur.</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02 - FORMULE PRIORITAIRE</w:t>
      </w:r>
    </w:p>
    <w:p>
      <w:pPr>
        <w:keepNext/>
        <w:spacing w:before="40" w:after="40"/>
      </w:pPr>
      <w:r>
        <w:rPr>
          <w:rFonts w:ascii="Aptos Display" w:hAnsi="Aptos Display"/>
          <w:b/>
          <w:i w:val="0"/>
          <w:color w:val="1C3963"/>
          <w:sz w:val="27"/>
        </w:rPr>
        <w:t>Intitulé</w:t>
      </w:r>
    </w:p>
    <w:p>
      <w:pPr>
        <w:spacing w:after="60"/>
      </w:pPr>
      <w:r>
        <w:rPr>
          <w:rFonts w:ascii="Aptos" w:hAnsi="Aptos"/>
          <w:b w:val="0"/>
          <w:i w:val="0"/>
          <w:color w:val="1C3963"/>
          <w:sz w:val="24"/>
        </w:rPr>
        <w:t>Bootcamp IA Data &amp; Analyse : de l’acculturation utile au premier pilote mesurable.</w:t>
      </w:r>
    </w:p>
    <w:p>
      <w:pPr>
        <w:keepNext/>
        <w:spacing w:before="40" w:after="40"/>
      </w:pPr>
      <w:r>
        <w:rPr>
          <w:rFonts w:ascii="Aptos Display" w:hAnsi="Aptos Display"/>
          <w:b/>
          <w:i w:val="0"/>
          <w:color w:val="1C3963"/>
          <w:sz w:val="27"/>
        </w:rPr>
        <w:t>Public cible</w:t>
      </w:r>
    </w:p>
    <w:p>
      <w:pPr>
        <w:spacing w:after="60"/>
      </w:pPr>
      <w:r>
        <w:rPr>
          <w:rFonts w:ascii="Aptos" w:hAnsi="Aptos"/>
          <w:b w:val="0"/>
          <w:i w:val="0"/>
          <w:color w:val="1C3963"/>
          <w:sz w:val="24"/>
        </w:rPr>
        <w:t>Directions data, BI, performance, contrôle, équipes d’analystes et managers utilisateurs.</w:t>
      </w:r>
    </w:p>
    <w:p>
      <w:pPr>
        <w:keepNext/>
        <w:spacing w:before="40" w:after="40"/>
      </w:pPr>
      <w:r>
        <w:rPr>
          <w:rFonts w:ascii="Aptos Display" w:hAnsi="Aptos Display"/>
          <w:b/>
          <w:i w:val="0"/>
          <w:color w:val="1C3963"/>
          <w:sz w:val="27"/>
        </w:rPr>
        <w:t>Formats possibles</w:t>
      </w:r>
    </w:p>
    <w:p>
      <w:pPr>
        <w:pStyle w:val="ListBullet"/>
        <w:spacing w:after="0"/>
      </w:pPr>
      <w:r>
        <w:rPr>
          <w:rFonts w:ascii="Aptos" w:hAnsi="Aptos"/>
          <w:b w:val="0"/>
          <w:i w:val="0"/>
          <w:color w:val="1C3963"/>
          <w:sz w:val="23"/>
        </w:rPr>
        <w:t>Présentiel</w:t>
      </w:r>
    </w:p>
    <w:p>
      <w:pPr>
        <w:pStyle w:val="ListBullet"/>
        <w:spacing w:after="0"/>
      </w:pPr>
      <w:r>
        <w:rPr>
          <w:rFonts w:ascii="Aptos" w:hAnsi="Aptos"/>
          <w:b w:val="0"/>
          <w:i w:val="0"/>
          <w:color w:val="1C3963"/>
          <w:sz w:val="23"/>
        </w:rPr>
        <w:t>Hybride</w:t>
      </w:r>
    </w:p>
    <w:p>
      <w:pPr>
        <w:pStyle w:val="ListBullet"/>
        <w:spacing w:after="0"/>
      </w:pPr>
      <w:r>
        <w:rPr>
          <w:rFonts w:ascii="Aptos" w:hAnsi="Aptos"/>
          <w:b w:val="0"/>
          <w:i w:val="0"/>
          <w:color w:val="1C3963"/>
          <w:sz w:val="23"/>
        </w:rPr>
        <w:t>En ligne (style webinaire)</w:t>
      </w:r>
    </w:p>
    <w:p>
      <w:pPr>
        <w:keepNext/>
        <w:spacing w:before="40" w:after="40"/>
      </w:pPr>
      <w:r>
        <w:rPr>
          <w:rFonts w:ascii="Aptos Display" w:hAnsi="Aptos Display"/>
          <w:b/>
          <w:i w:val="0"/>
          <w:color w:val="1C3963"/>
          <w:sz w:val="27"/>
        </w:rPr>
        <w:t>Niveaux</w:t>
      </w:r>
    </w:p>
    <w:p>
      <w:pPr>
        <w:pStyle w:val="ListBullet"/>
        <w:spacing w:after="0"/>
      </w:pPr>
      <w:r>
        <w:rPr>
          <w:rFonts w:ascii="Aptos" w:hAnsi="Aptos"/>
          <w:b w:val="0"/>
          <w:i w:val="0"/>
          <w:color w:val="1C3963"/>
          <w:sz w:val="23"/>
        </w:rPr>
        <w:t>Débutant</w:t>
      </w:r>
    </w:p>
    <w:p>
      <w:pPr>
        <w:pStyle w:val="ListBullet"/>
        <w:spacing w:after="0"/>
      </w:pPr>
      <w:r>
        <w:rPr>
          <w:rFonts w:ascii="Aptos" w:hAnsi="Aptos"/>
          <w:b w:val="0"/>
          <w:i w:val="0"/>
          <w:color w:val="1C3963"/>
          <w:sz w:val="23"/>
        </w:rPr>
        <w:t>Intermédiaire</w:t>
      </w:r>
    </w:p>
    <w:p>
      <w:pPr>
        <w:pStyle w:val="ListBullet"/>
        <w:spacing w:after="0"/>
      </w:pPr>
      <w:r>
        <w:rPr>
          <w:rFonts w:ascii="Aptos" w:hAnsi="Aptos"/>
          <w:b w:val="0"/>
          <w:i w:val="0"/>
          <w:color w:val="1C3963"/>
          <w:sz w:val="23"/>
        </w:rPr>
        <w:t>Avancé</w:t>
      </w:r>
    </w:p>
    <w:p>
      <w:pPr>
        <w:keepNext/>
        <w:spacing w:before="40" w:after="40"/>
      </w:pPr>
      <w:r>
        <w:rPr>
          <w:rFonts w:ascii="Aptos Display" w:hAnsi="Aptos Display"/>
          <w:b/>
          <w:i w:val="0"/>
          <w:color w:val="1C3963"/>
          <w:sz w:val="27"/>
        </w:rPr>
        <w:t>Durée</w:t>
      </w:r>
    </w:p>
    <w:p>
      <w:pPr>
        <w:pStyle w:val="ListBullet"/>
        <w:spacing w:after="0"/>
      </w:pPr>
      <w:r>
        <w:rPr>
          <w:rFonts w:ascii="Aptos" w:hAnsi="Aptos"/>
          <w:b w:val="0"/>
          <w:i w:val="0"/>
          <w:color w:val="1C3963"/>
          <w:sz w:val="23"/>
        </w:rPr>
        <w:t>1 jour : version décideurs et managers.</w:t>
      </w:r>
    </w:p>
    <w:p>
      <w:pPr>
        <w:pStyle w:val="ListBullet"/>
        <w:spacing w:after="0"/>
      </w:pPr>
      <w:r>
        <w:rPr>
          <w:rFonts w:ascii="Aptos" w:hAnsi="Aptos"/>
          <w:b w:val="0"/>
          <w:i w:val="0"/>
          <w:color w:val="1C3963"/>
          <w:sz w:val="23"/>
        </w:rPr>
        <w:t>2 jours : version équipes, managers et mise en pratique.</w:t>
      </w:r>
    </w:p>
    <w:p>
      <w:pPr>
        <w:keepNext/>
        <w:spacing w:before="40" w:after="40"/>
      </w:pPr>
      <w:r>
        <w:rPr>
          <w:rFonts w:ascii="Aptos Display" w:hAnsi="Aptos Display"/>
          <w:b/>
          <w:i w:val="0"/>
          <w:color w:val="1C3963"/>
          <w:sz w:val="27"/>
        </w:rPr>
        <w:t>Tarif</w:t>
      </w:r>
    </w:p>
    <w:p>
      <w:pPr>
        <w:spacing w:after="60"/>
      </w:pPr>
      <w:r>
        <w:rPr>
          <w:rFonts w:ascii="Aptos" w:hAnsi="Aptos"/>
          <w:b w:val="0"/>
          <w:i w:val="0"/>
          <w:color w:val="1C3963"/>
          <w:sz w:val="24"/>
        </w:rPr>
        <w:t>Prix sur demande.</w:t>
      </w:r>
    </w:p>
    <w:p>
      <w:pPr>
        <w:keepNext/>
        <w:spacing w:before="40" w:after="40"/>
      </w:pPr>
      <w:r>
        <w:rPr>
          <w:rFonts w:ascii="Aptos Display" w:hAnsi="Aptos Display"/>
          <w:b/>
          <w:i w:val="0"/>
          <w:color w:val="1C3963"/>
          <w:sz w:val="27"/>
        </w:rPr>
        <w:t>Objectifs pédagogiques</w:t>
      </w:r>
    </w:p>
    <w:p>
      <w:pPr>
        <w:pStyle w:val="ListBullet"/>
        <w:spacing w:after="0"/>
      </w:pPr>
      <w:r>
        <w:rPr>
          <w:rFonts w:ascii="Aptos" w:hAnsi="Aptos"/>
          <w:b w:val="0"/>
          <w:i w:val="0"/>
          <w:color w:val="1C3963"/>
          <w:sz w:val="23"/>
        </w:rPr>
        <w:t>Identifier les priorités métier les plus crédibles à traiter par l’IA dans la data et l’analyse.</w:t>
      </w:r>
    </w:p>
    <w:p>
      <w:pPr>
        <w:pStyle w:val="ListBullet"/>
        <w:spacing w:after="0"/>
      </w:pPr>
      <w:r>
        <w:rPr>
          <w:rFonts w:ascii="Aptos" w:hAnsi="Aptos"/>
          <w:b w:val="0"/>
          <w:i w:val="0"/>
          <w:color w:val="1C3963"/>
          <w:sz w:val="23"/>
        </w:rPr>
        <w:t>Structurer les usages liés à commentaires automatiques de tableaux de bord, à préparation et nettoyage assistés et à BI plus pédagogique pour les métiers.</w:t>
      </w:r>
    </w:p>
    <w:p>
      <w:pPr>
        <w:pStyle w:val="ListBullet"/>
        <w:spacing w:after="0"/>
      </w:pPr>
      <w:r>
        <w:rPr>
          <w:rFonts w:ascii="Aptos" w:hAnsi="Aptos"/>
          <w:b w:val="0"/>
          <w:i w:val="0"/>
          <w:color w:val="1C3963"/>
          <w:sz w:val="23"/>
        </w:rPr>
        <w:t>Distinguer les usages activables rapidement, ceux à encadrer et ceux à piloter dans le temps.</w:t>
      </w:r>
    </w:p>
    <w:p>
      <w:pPr>
        <w:pStyle w:val="ListBullet"/>
        <w:spacing w:after="0"/>
      </w:pPr>
      <w:r>
        <w:rPr>
          <w:rFonts w:ascii="Aptos" w:hAnsi="Aptos"/>
          <w:b w:val="0"/>
          <w:i w:val="0"/>
          <w:color w:val="1C3963"/>
          <w:sz w:val="23"/>
        </w:rPr>
        <w:t>Définir des KPI simples, un cadre de confiance et un premier plan d’action à 90 jours.</w:t>
      </w:r>
    </w:p>
    <w:p>
      <w:pPr>
        <w:keepNext/>
        <w:spacing w:before="40" w:after="40"/>
      </w:pPr>
      <w:r>
        <w:rPr>
          <w:rFonts w:ascii="Aptos Display" w:hAnsi="Aptos Display"/>
          <w:b/>
          <w:i w:val="0"/>
          <w:color w:val="1C3963"/>
          <w:sz w:val="27"/>
        </w:rPr>
        <w:t>Formations proposées</w:t>
      </w:r>
    </w:p>
    <w:p>
      <w:pPr>
        <w:pStyle w:val="ListBullet"/>
        <w:spacing w:after="0"/>
      </w:pPr>
      <w:r>
        <w:rPr>
          <w:rFonts w:ascii="Aptos" w:hAnsi="Aptos"/>
          <w:b w:val="0"/>
          <w:i w:val="0"/>
          <w:color w:val="1C3963"/>
          <w:sz w:val="23"/>
        </w:rPr>
        <w:t>Power BI et Tableaux de Bord IA.</w:t>
      </w:r>
    </w:p>
    <w:p>
      <w:pPr>
        <w:pStyle w:val="ListBullet"/>
        <w:spacing w:after="0"/>
      </w:pPr>
      <w:r>
        <w:rPr>
          <w:rFonts w:ascii="Aptos" w:hAnsi="Aptos"/>
          <w:b w:val="0"/>
          <w:i w:val="0"/>
          <w:color w:val="1C3963"/>
          <w:sz w:val="23"/>
        </w:rPr>
        <w:t>Business Intelligence et IA.</w:t>
      </w:r>
    </w:p>
    <w:p>
      <w:pPr>
        <w:pStyle w:val="ListBullet"/>
        <w:spacing w:after="0"/>
      </w:pPr>
      <w:r>
        <w:rPr>
          <w:rFonts w:ascii="Aptos" w:hAnsi="Aptos"/>
          <w:b w:val="0"/>
          <w:i w:val="0"/>
          <w:color w:val="1C3963"/>
          <w:sz w:val="23"/>
        </w:rPr>
        <w:t>Visualisation de Données avec IA.</w:t>
      </w:r>
    </w:p>
    <w:p>
      <w:pPr>
        <w:pStyle w:val="ListBullet"/>
        <w:spacing w:after="0"/>
      </w:pPr>
      <w:r>
        <w:rPr>
          <w:rFonts w:ascii="Aptos" w:hAnsi="Aptos"/>
          <w:b w:val="0"/>
          <w:i w:val="0"/>
          <w:color w:val="1C3963"/>
          <w:sz w:val="23"/>
        </w:rPr>
        <w:t>SQL et Bases de Données pour l'Analyse IA.</w:t>
      </w:r>
    </w:p>
    <w:p>
      <w:pPr>
        <w:pStyle w:val="ListBullet"/>
        <w:spacing w:after="0"/>
      </w:pPr>
      <w:r>
        <w:rPr>
          <w:rFonts w:ascii="Aptos" w:hAnsi="Aptos"/>
          <w:b w:val="0"/>
          <w:i w:val="0"/>
          <w:color w:val="1C3963"/>
          <w:sz w:val="23"/>
        </w:rPr>
        <w:t>Nettoyage et Préparation de Données avec l'IA.</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03 - PROGRAMME PROPOSÉ</w:t>
      </w:r>
    </w:p>
    <w:p>
      <w:pPr>
        <w:keepNext/>
        <w:spacing w:before="100" w:after="60"/>
      </w:pPr>
      <w:r>
        <w:rPr>
          <w:rFonts w:ascii="Aptos Display" w:hAnsi="Aptos Display"/>
          <w:b/>
          <w:i w:val="0"/>
          <w:color w:val="1C3963"/>
          <w:sz w:val="30"/>
        </w:rPr>
        <w:t>Jour 1</w:t>
      </w:r>
    </w:p>
    <w:p>
      <w:pPr>
        <w:pStyle w:val="ListBullet"/>
        <w:spacing w:after="0"/>
      </w:pPr>
      <w:r>
        <w:rPr>
          <w:rFonts w:ascii="Aptos" w:hAnsi="Aptos"/>
          <w:b w:val="0"/>
          <w:i w:val="0"/>
          <w:color w:val="1C3963"/>
          <w:sz w:val="23"/>
        </w:rPr>
        <w:t>Lecture des enjeux data et analyse, cartographie des irritants prioritaires et sélection des premiers gains visés.</w:t>
      </w:r>
    </w:p>
    <w:p>
      <w:pPr>
        <w:pStyle w:val="ListBullet"/>
        <w:spacing w:after="0"/>
      </w:pPr>
      <w:r>
        <w:rPr>
          <w:rFonts w:ascii="Aptos" w:hAnsi="Aptos"/>
          <w:b w:val="0"/>
          <w:i w:val="0"/>
          <w:color w:val="1C3963"/>
          <w:sz w:val="23"/>
        </w:rPr>
        <w:t>Études de cas guidées sur commentaires automatiques de tableaux de bord et préparation et nettoyage assistés.</w:t>
      </w:r>
    </w:p>
    <w:p>
      <w:pPr>
        <w:pStyle w:val="ListBullet"/>
        <w:spacing w:after="0"/>
      </w:pPr>
      <w:r>
        <w:rPr>
          <w:rFonts w:ascii="Aptos" w:hAnsi="Aptos"/>
          <w:b w:val="0"/>
          <w:i w:val="0"/>
          <w:color w:val="1C3963"/>
          <w:sz w:val="23"/>
        </w:rPr>
        <w:t>Méthodes, prompts, routines et gestes métier autour de BI plus pédagogique pour les métiers et des synthèses opérationnelles.</w:t>
      </w:r>
    </w:p>
    <w:p>
      <w:pPr>
        <w:pStyle w:val="ListBullet"/>
        <w:spacing w:after="0"/>
      </w:pPr>
      <w:r>
        <w:rPr>
          <w:rFonts w:ascii="Aptos" w:hAnsi="Aptos"/>
          <w:b w:val="0"/>
          <w:i w:val="0"/>
          <w:color w:val="1C3963"/>
          <w:sz w:val="23"/>
        </w:rPr>
        <w:t>Cadre de confiance : confidentialité, validation managériale, supervision humaine et critères d’extension.</w:t>
      </w:r>
    </w:p>
    <w:p>
      <w:pPr>
        <w:keepNext/>
        <w:spacing w:before="100" w:after="60"/>
      </w:pPr>
      <w:r>
        <w:rPr>
          <w:rFonts w:ascii="Aptos Display" w:hAnsi="Aptos Display"/>
          <w:b/>
          <w:i w:val="0"/>
          <w:color w:val="1C3963"/>
          <w:sz w:val="30"/>
        </w:rPr>
        <w:t>Jour 2</w:t>
      </w:r>
    </w:p>
    <w:p>
      <w:pPr>
        <w:pStyle w:val="ListBullet"/>
        <w:spacing w:after="0"/>
      </w:pPr>
      <w:r>
        <w:rPr>
          <w:rFonts w:ascii="Aptos" w:hAnsi="Aptos"/>
          <w:b w:val="0"/>
          <w:i w:val="0"/>
          <w:color w:val="1C3963"/>
          <w:sz w:val="23"/>
        </w:rPr>
        <w:t>Ateliers de conception sur BI plus pédagogique pour les métiers et gouvernance des données et dictionnaires.</w:t>
      </w:r>
    </w:p>
    <w:p>
      <w:pPr>
        <w:pStyle w:val="ListBullet"/>
        <w:spacing w:after="0"/>
      </w:pPr>
      <w:r>
        <w:rPr>
          <w:rFonts w:ascii="Aptos" w:hAnsi="Aptos"/>
          <w:b w:val="0"/>
          <w:i w:val="0"/>
          <w:color w:val="1C3963"/>
          <w:sz w:val="23"/>
        </w:rPr>
        <w:t>Construction d’un premier canevas de pilote, des KPI de suivi et des livrables attendus.</w:t>
      </w:r>
    </w:p>
    <w:p>
      <w:pPr>
        <w:pStyle w:val="ListBullet"/>
        <w:spacing w:after="0"/>
      </w:pPr>
      <w:r>
        <w:rPr>
          <w:rFonts w:ascii="Aptos" w:hAnsi="Aptos"/>
          <w:b w:val="0"/>
          <w:i w:val="0"/>
          <w:color w:val="1C3963"/>
          <w:sz w:val="23"/>
        </w:rPr>
        <w:t>Approfondissements recommandés : Visualisation de Données avec IA, SQL et Bases de Données pour l’Analyse IA, Nettoyage et Préparation de Données avec l’IA.</w:t>
      </w:r>
    </w:p>
    <w:p>
      <w:pPr>
        <w:pStyle w:val="ListBullet"/>
        <w:spacing w:after="0"/>
      </w:pPr>
      <w:r>
        <w:rPr>
          <w:rFonts w:ascii="Aptos" w:hAnsi="Aptos"/>
          <w:b w:val="0"/>
          <w:i w:val="0"/>
          <w:color w:val="1C3963"/>
          <w:sz w:val="23"/>
        </w:rPr>
        <w:t>Plan d’action à 90 jours : gouvernance, équipes à former, priorités de déploiement et décision d’extension.</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04 - LIVRABLES ATTENDUS</w:t>
      </w:r>
    </w:p>
    <w:p>
      <w:pPr>
        <w:pStyle w:val="ListBullet"/>
        <w:spacing w:after="0"/>
      </w:pPr>
      <w:r>
        <w:rPr>
          <w:rFonts w:ascii="Aptos" w:hAnsi="Aptos"/>
          <w:b w:val="0"/>
          <w:i w:val="0"/>
          <w:color w:val="1C3963"/>
          <w:sz w:val="23"/>
        </w:rPr>
        <w:t>Une note de cadrage data et analyse avec priorités confirmées, risques, points de vigilance et premières décisions.</w:t>
      </w:r>
    </w:p>
    <w:p>
      <w:pPr>
        <w:pStyle w:val="ListBullet"/>
        <w:spacing w:after="0"/>
      </w:pPr>
      <w:r>
        <w:rPr>
          <w:rFonts w:ascii="Aptos" w:hAnsi="Aptos"/>
          <w:b w:val="0"/>
          <w:i w:val="0"/>
          <w:color w:val="1C3963"/>
          <w:sz w:val="23"/>
        </w:rPr>
        <w:t>Une matrice des usages prioritaires applicable à commentaires automatiques de tableaux de bord, à préparation et nettoyage assistés et à BI plus pédagogique pour les métiers.</w:t>
      </w:r>
    </w:p>
    <w:p>
      <w:pPr>
        <w:pStyle w:val="ListBullet"/>
        <w:spacing w:after="0"/>
      </w:pPr>
      <w:r>
        <w:rPr>
          <w:rFonts w:ascii="Aptos" w:hAnsi="Aptos"/>
          <w:b w:val="0"/>
          <w:i w:val="0"/>
          <w:color w:val="1C3963"/>
          <w:sz w:val="23"/>
        </w:rPr>
        <w:t>Un canevas de pilote à 90 jours avec KPI, rôles, supervision et critères de succès.</w:t>
      </w:r>
    </w:p>
    <w:p>
      <w:pPr>
        <w:pStyle w:val="ListBullet"/>
        <w:spacing w:after="0"/>
      </w:pPr>
      <w:r>
        <w:rPr>
          <w:rFonts w:ascii="Aptos" w:hAnsi="Aptos"/>
          <w:b w:val="0"/>
          <w:i w:val="0"/>
          <w:color w:val="1C3963"/>
          <w:sz w:val="23"/>
        </w:rPr>
        <w:t>Une recommandation de parcours de montée en compétences pour les décideurs et équipes data et analyse ciblées.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05 - DOMAINES DE RÉFÉRENCE</w:t>
      </w:r>
    </w:p>
    <w:p>
      <w:pPr>
        <w:pStyle w:val="ListBullet"/>
        <w:spacing w:after="0"/>
      </w:pPr>
      <w:r>
        <w:rPr>
          <w:rFonts w:ascii="Aptos" w:hAnsi="Aptos"/>
          <w:b w:val="0"/>
          <w:i w:val="0"/>
          <w:color w:val="1C3963"/>
          <w:sz w:val="23"/>
        </w:rPr>
        <w:t>Commentaires automatiques de tableaux de bord</w:t>
      </w:r>
    </w:p>
    <w:p>
      <w:pPr>
        <w:pStyle w:val="ListBullet"/>
        <w:spacing w:after="0"/>
      </w:pPr>
      <w:r>
        <w:rPr>
          <w:rFonts w:ascii="Aptos" w:hAnsi="Aptos"/>
          <w:b w:val="0"/>
          <w:i w:val="0"/>
          <w:color w:val="1C3963"/>
          <w:sz w:val="23"/>
        </w:rPr>
        <w:t>Préparation et nettoyage assistés</w:t>
      </w:r>
    </w:p>
    <w:p>
      <w:pPr>
        <w:pStyle w:val="ListBullet"/>
        <w:spacing w:after="0"/>
      </w:pPr>
      <w:r>
        <w:rPr>
          <w:rFonts w:ascii="Aptos" w:hAnsi="Aptos"/>
          <w:b w:val="0"/>
          <w:i w:val="0"/>
          <w:color w:val="1C3963"/>
          <w:sz w:val="23"/>
        </w:rPr>
        <w:t>BI plus pédagogique pour les métiers</w:t>
      </w:r>
    </w:p>
    <w:p>
      <w:pPr>
        <w:pStyle w:val="ListBullet"/>
        <w:spacing w:after="0"/>
      </w:pPr>
      <w:r>
        <w:rPr>
          <w:rFonts w:ascii="Aptos" w:hAnsi="Aptos"/>
          <w:b w:val="0"/>
          <w:i w:val="0"/>
          <w:color w:val="1C3963"/>
          <w:sz w:val="23"/>
        </w:rPr>
        <w:t>Gouvernance des données et dictionnaires</w:t>
      </w:r>
    </w:p>
    <w:p>
      <w:pPr>
        <w:pStyle w:val="ListBullet"/>
        <w:spacing w:after="0"/>
      </w:pPr>
      <w:r>
        <w:rPr>
          <w:rFonts w:ascii="Aptos" w:hAnsi="Aptos"/>
          <w:b w:val="0"/>
          <w:i w:val="0"/>
          <w:color w:val="1C3963"/>
          <w:sz w:val="23"/>
        </w:rPr>
        <w:t>Power BI et Tableaux de Bord IA</w:t>
      </w:r>
    </w:p>
    <w:sectPr w:rsidR="00FC693F" w:rsidRPr="0006063C" w:rsidSect="00034616">
      <w:footerReference w:type="default" r:id="rId9"/>
      <w:pgSz w:w="11906" w:h="16838"/>
      <w:pgMar w:top="113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C93"/>
        <w:sz w:val="17"/>
      </w:rPr>
      <w:t>TransferAI Africa | www.transferai.ci | IA Assistant / WhatsApp : +225 07 16 57 39 90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