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santé, prévention et bien-être</w:t>
      </w:r>
    </w:p>
    <w:p>
      <w:pPr>
        <w:spacing w:after="60"/>
      </w:pPr>
      <w:r>
        <w:rPr>
          <w:rFonts w:ascii="Aptos" w:hAnsi="Aptos"/>
          <w:b w:val="0"/>
          <w:i w:val="0"/>
          <w:color w:val="6B7C93"/>
          <w:sz w:val="25"/>
        </w:rPr>
        <w:t>Santé · Prévention · QVT · HSE · Qualité · Programmes</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fluidifier les processus clés, renforcer la coordination et générer des gains de temps mesurables.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usages prioritaires et lancer un premier pilote mesurable autour de documentation qualité et rapports non cliniques, de prévention, sensibilisation et messages patients ou de analyse des retours et incidents.</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Les rapports et supports gagnent en vitesse de préparation et en cohérence documentaire.</w:t>
      </w:r>
    </w:p>
    <w:p>
      <w:pPr>
        <w:pStyle w:val="ListBullet"/>
        <w:spacing w:after="20"/>
      </w:pPr>
      <w:r>
        <w:rPr>
          <w:rFonts w:ascii="Aptos" w:hAnsi="Aptos"/>
          <w:b w:val="0"/>
          <w:i w:val="0"/>
          <w:color w:val="1C3963"/>
          <w:sz w:val="24"/>
        </w:rPr>
        <w:t>Les supports éducatifs et messages de sensibilisation se déclinent plus vite selon les publics.</w:t>
      </w:r>
    </w:p>
    <w:p>
      <w:pPr>
        <w:pStyle w:val="ListBullet"/>
        <w:spacing w:after="20"/>
      </w:pPr>
      <w:r>
        <w:rPr>
          <w:rFonts w:ascii="Aptos" w:hAnsi="Aptos"/>
          <w:b w:val="0"/>
          <w:i w:val="0"/>
          <w:color w:val="1C3963"/>
          <w:sz w:val="24"/>
        </w:rPr>
        <w:t>Les responsables relisent plus vite les motifs récurrents et les points de vigilance.</w:t>
      </w:r>
    </w:p>
    <w:p>
      <w:pPr>
        <w:pStyle w:val="ListBullet"/>
        <w:spacing w:after="20"/>
      </w:pPr>
      <w:r>
        <w:rPr>
          <w:rFonts w:ascii="Aptos" w:hAnsi="Aptos"/>
          <w:b w:val="0"/>
          <w:i w:val="0"/>
          <w:color w:val="1C3963"/>
          <w:sz w:val="24"/>
        </w:rPr>
        <w:t>Les indicateurs, plans d’action et pratiques gagnent en continuité et en visibilité.</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SANTÉ &amp; BIEN-ÊTRE</w:t>
      </w:r>
    </w:p>
    <w:p>
      <w:pPr>
        <w:spacing w:after="60"/>
      </w:pPr>
      <w:r>
        <w:rPr>
          <w:rFonts w:ascii="Aptos" w:hAnsi="Aptos"/>
          <w:b w:val="0"/>
          <w:i w:val="0"/>
          <w:color w:val="1C3963"/>
          <w:sz w:val="25"/>
        </w:rPr>
        <w:t>Dans la santé et le bien-être, la valeur de l’IA se mesure d’abord dans la réduction des délais, la qualité des synthèses et une meilleure coordination des décisions.</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Rapports, comptes rendus, supports d’information et documents qualité consomment beaucoup de temps.</w:t>
      </w:r>
    </w:p>
    <w:p>
      <w:pPr>
        <w:pStyle w:val="ListBullet"/>
        <w:spacing w:after="20"/>
      </w:pPr>
      <w:r>
        <w:rPr>
          <w:rFonts w:ascii="Aptos" w:hAnsi="Aptos"/>
          <w:b w:val="0"/>
          <w:i w:val="0"/>
          <w:color w:val="1C3963"/>
          <w:sz w:val="25"/>
        </w:rPr>
        <w:t>Les messages de sensibilisation, supports patients ou QVT sont produits lentement et de façon irrégulière.</w:t>
      </w:r>
    </w:p>
    <w:p>
      <w:pPr>
        <w:pStyle w:val="ListBullet"/>
        <w:spacing w:after="20"/>
      </w:pPr>
      <w:r>
        <w:rPr>
          <w:rFonts w:ascii="Aptos" w:hAnsi="Aptos"/>
          <w:b w:val="0"/>
          <w:i w:val="0"/>
          <w:color w:val="1C3963"/>
          <w:sz w:val="25"/>
        </w:rPr>
        <w:t>Les verbatims, incidents, questionnaires et remontées terrain sont peu consolidés.</w:t>
      </w:r>
    </w:p>
    <w:p>
      <w:pPr>
        <w:pStyle w:val="ListBullet"/>
        <w:spacing w:after="20"/>
      </w:pPr>
      <w:r>
        <w:rPr>
          <w:rFonts w:ascii="Aptos" w:hAnsi="Aptos"/>
          <w:b w:val="0"/>
          <w:i w:val="0"/>
          <w:color w:val="1C3963"/>
          <w:sz w:val="25"/>
        </w:rPr>
        <w:t>Les responsables peinent à structurer les pratiques et à diffuser les standards.</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de rédaction ; nombre de documents conformes.</w:t>
      </w:r>
    </w:p>
    <w:p>
      <w:pPr>
        <w:pStyle w:val="ListBullet"/>
        <w:spacing w:after="20"/>
      </w:pPr>
      <w:r>
        <w:rPr>
          <w:rFonts w:ascii="Aptos" w:hAnsi="Aptos"/>
          <w:b w:val="0"/>
          <w:i w:val="0"/>
          <w:color w:val="1C3963"/>
          <w:sz w:val="25"/>
        </w:rPr>
        <w:t>Temps de production ; portée ou engagement.</w:t>
      </w:r>
    </w:p>
    <w:p>
      <w:pPr>
        <w:pStyle w:val="ListBullet"/>
        <w:spacing w:after="20"/>
      </w:pPr>
      <w:r>
        <w:rPr>
          <w:rFonts w:ascii="Aptos" w:hAnsi="Aptos"/>
          <w:b w:val="0"/>
          <w:i w:val="0"/>
          <w:color w:val="1C3963"/>
          <w:sz w:val="25"/>
        </w:rPr>
        <w:t>Temps d’analyse ; nombre d’actions correctives.</w:t>
      </w:r>
    </w:p>
    <w:p>
      <w:pPr>
        <w:pStyle w:val="ListBullet"/>
        <w:spacing w:after="20"/>
      </w:pPr>
      <w:r>
        <w:rPr>
          <w:rFonts w:ascii="Aptos" w:hAnsi="Aptos"/>
          <w:b w:val="0"/>
          <w:i w:val="0"/>
          <w:color w:val="1C3963"/>
          <w:sz w:val="25"/>
        </w:rPr>
        <w:t>Rythme de mise à jour ; visibilité des plans d’action.</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priorités, bootcamp ciblé pour décideurs et équipes santé et bien-être, puis accompagnement sur 90 jours avec KPI simples et supervision humaine.</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25 à 45 % sur la documentation (rapports, fiches, supports, synthèses).</w:t>
      </w:r>
    </w:p>
    <w:p>
      <w:pPr>
        <w:pStyle w:val="ListBullet"/>
        <w:spacing w:after="20"/>
      </w:pPr>
      <w:r>
        <w:rPr>
          <w:rFonts w:ascii="Aptos" w:hAnsi="Aptos"/>
          <w:b w:val="0"/>
          <w:i w:val="0"/>
          <w:color w:val="1C3963"/>
          <w:sz w:val="25"/>
        </w:rPr>
        <w:t>Campagnes plus rapides de prévention (supports, scripts, messages).</w:t>
      </w:r>
    </w:p>
    <w:p>
      <w:pPr>
        <w:pStyle w:val="ListBullet"/>
        <w:spacing w:after="20"/>
      </w:pPr>
      <w:r>
        <w:rPr>
          <w:rFonts w:ascii="Aptos" w:hAnsi="Aptos"/>
          <w:b w:val="0"/>
          <w:i w:val="0"/>
          <w:color w:val="1C3963"/>
          <w:sz w:val="25"/>
        </w:rPr>
        <w:t>Feuille de route initiale des usages IA prioritaires du secteur.</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Santé &amp; Bien-être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Directions d’établissements, coordination soignante, accueil, expérience patient et support.</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dans la santé et le bien-être.</w:t>
      </w:r>
    </w:p>
    <w:p>
      <w:pPr>
        <w:pStyle w:val="ListBullet"/>
        <w:spacing w:after="0"/>
      </w:pPr>
      <w:r>
        <w:rPr>
          <w:rFonts w:ascii="Aptos" w:hAnsi="Aptos"/>
          <w:b w:val="0"/>
          <w:i w:val="0"/>
          <w:color w:val="1C3963"/>
          <w:sz w:val="23"/>
        </w:rPr>
        <w:t>Structurer les usages liés à documentation qualité et rapports non cliniques, à prévention, sensibilisation et messages patients et à analyse des retours et incidents.</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Prévention des Risques Professionnels avec l'IA.</w:t>
      </w:r>
    </w:p>
    <w:p>
      <w:pPr>
        <w:pStyle w:val="ListBullet"/>
        <w:spacing w:after="0"/>
      </w:pPr>
      <w:r>
        <w:rPr>
          <w:rFonts w:ascii="Aptos" w:hAnsi="Aptos"/>
          <w:b w:val="0"/>
          <w:i w:val="0"/>
          <w:color w:val="1C3963"/>
          <w:sz w:val="23"/>
        </w:rPr>
        <w:t>Programmes de Santé au Travail avec l'IA.</w:t>
      </w:r>
    </w:p>
    <w:p>
      <w:pPr>
        <w:pStyle w:val="ListBullet"/>
        <w:spacing w:after="0"/>
      </w:pPr>
      <w:r>
        <w:rPr>
          <w:rFonts w:ascii="Aptos" w:hAnsi="Aptos"/>
          <w:b w:val="0"/>
          <w:i w:val="0"/>
          <w:color w:val="1C3963"/>
          <w:sz w:val="23"/>
        </w:rPr>
        <w:t>QVT et IA : Qualité de Vie au Travail.</w:t>
      </w:r>
    </w:p>
    <w:p>
      <w:pPr>
        <w:pStyle w:val="ListBullet"/>
        <w:spacing w:after="0"/>
      </w:pPr>
      <w:r>
        <w:rPr>
          <w:rFonts w:ascii="Aptos" w:hAnsi="Aptos"/>
          <w:b w:val="0"/>
          <w:i w:val="0"/>
          <w:color w:val="1C3963"/>
          <w:sz w:val="23"/>
        </w:rPr>
        <w:t>Conformité HSE et IA.</w:t>
      </w:r>
    </w:p>
    <w:p>
      <w:pPr>
        <w:pStyle w:val="ListBullet"/>
        <w:spacing w:after="0"/>
      </w:pPr>
      <w:r>
        <w:rPr>
          <w:rFonts w:ascii="Aptos" w:hAnsi="Aptos"/>
          <w:b w:val="0"/>
          <w:i w:val="0"/>
          <w:color w:val="1C3963"/>
          <w:sz w:val="23"/>
        </w:rPr>
        <w:t>Gestion des Accidents du Travail avec l'IA.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santé et bien-être, cartographie des irritants prioritaires et sélection des premiers gains visés.</w:t>
      </w:r>
    </w:p>
    <w:p>
      <w:pPr>
        <w:pStyle w:val="ListBullet"/>
        <w:spacing w:after="0"/>
      </w:pPr>
      <w:r>
        <w:rPr>
          <w:rFonts w:ascii="Aptos" w:hAnsi="Aptos"/>
          <w:b w:val="0"/>
          <w:i w:val="0"/>
          <w:color w:val="1C3963"/>
          <w:sz w:val="23"/>
        </w:rPr>
        <w:t>Études de cas guidées sur documentation qualité et rapports non cliniques et prévention, sensibilisation et messages patients.</w:t>
      </w:r>
    </w:p>
    <w:p>
      <w:pPr>
        <w:pStyle w:val="ListBullet"/>
        <w:spacing w:after="0"/>
      </w:pPr>
      <w:r>
        <w:rPr>
          <w:rFonts w:ascii="Aptos" w:hAnsi="Aptos"/>
          <w:b w:val="0"/>
          <w:i w:val="0"/>
          <w:color w:val="1C3963"/>
          <w:sz w:val="23"/>
        </w:rPr>
        <w:t>Méthodes, prompts, routines et gestes métier autour de analyse des retours et incidents et des synthèses opérationnelles.</w:t>
      </w:r>
    </w:p>
    <w:p>
      <w:pPr>
        <w:pStyle w:val="ListBullet"/>
        <w:spacing w:after="0"/>
      </w:pPr>
      <w:r>
        <w:rPr>
          <w:rFonts w:ascii="Aptos" w:hAnsi="Aptos"/>
          <w:b w:val="0"/>
          <w:i w:val="0"/>
          <w:color w:val="1C3963"/>
          <w:sz w:val="23"/>
        </w:rPr>
        <w:t>Cadre de confiance : confidentialité, validation managériale, supervision humaine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analyse des retours et incidents et pilotage QVT / HSE.</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QVT et IA : Qualité de Vie au Travail, Conformité HSE et IA, Gestion des Accidents du Travail avec l’IA.</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santé et bien-être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à documentation qualité et rapports non cliniques, à prévention, sensibilisation et messages patients et à analyse des retours et incidents.</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et équipes santé et bien-être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Documentation qualité et rapports non cliniques</w:t>
      </w:r>
    </w:p>
    <w:p>
      <w:pPr>
        <w:pStyle w:val="ListBullet"/>
        <w:spacing w:after="0"/>
      </w:pPr>
      <w:r>
        <w:rPr>
          <w:rFonts w:ascii="Aptos" w:hAnsi="Aptos"/>
          <w:b w:val="0"/>
          <w:i w:val="0"/>
          <w:color w:val="1C3963"/>
          <w:sz w:val="23"/>
        </w:rPr>
        <w:t>Prévention, sensibilisation et messages patients</w:t>
      </w:r>
    </w:p>
    <w:p>
      <w:pPr>
        <w:pStyle w:val="ListBullet"/>
        <w:spacing w:after="0"/>
      </w:pPr>
      <w:r>
        <w:rPr>
          <w:rFonts w:ascii="Aptos" w:hAnsi="Aptos"/>
          <w:b w:val="0"/>
          <w:i w:val="0"/>
          <w:color w:val="1C3963"/>
          <w:sz w:val="23"/>
        </w:rPr>
        <w:t>Analyse des retours et incidents</w:t>
      </w:r>
    </w:p>
    <w:p>
      <w:pPr>
        <w:pStyle w:val="ListBullet"/>
        <w:spacing w:after="0"/>
      </w:pPr>
      <w:r>
        <w:rPr>
          <w:rFonts w:ascii="Aptos" w:hAnsi="Aptos"/>
          <w:b w:val="0"/>
          <w:i w:val="0"/>
          <w:color w:val="1C3963"/>
          <w:sz w:val="23"/>
        </w:rPr>
        <w:t>Pilotage QVT / HSE</w:t>
      </w:r>
    </w:p>
    <w:p>
      <w:pPr>
        <w:pStyle w:val="ListBullet"/>
        <w:spacing w:after="0"/>
      </w:pPr>
      <w:r>
        <w:rPr>
          <w:rFonts w:ascii="Aptos" w:hAnsi="Aptos"/>
          <w:b w:val="0"/>
          <w:i w:val="0"/>
          <w:color w:val="1C3963"/>
          <w:sz w:val="23"/>
        </w:rPr>
        <w:t>Prévention des Risques Professionnels avec l'IA</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