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20"/>
        <w:jc w:val="right"/>
      </w:pPr>
      <w:r>
        <w:rPr>
          <w:rFonts w:ascii="Aptos" w:hAnsi="Aptos"/>
          <w:b w:val="0"/>
          <w:i w:val="0"/>
          <w:color w:val="6B7C93"/>
          <w:sz w:val="23"/>
        </w:rPr>
        <w:t>Mini-catalogue sectoriel | IA métier, formation et accompagnement</w:t>
      </w:r>
    </w:p>
    <w:p>
      <w:pPr>
        <w:spacing w:after="0"/>
      </w:pPr>
      <w:r>
        <w:rPr>
          <w:rFonts w:ascii="Aptos Display" w:hAnsi="Aptos Display"/>
          <w:b/>
          <w:i w:val="0"/>
          <w:color w:val="EF6C12"/>
          <w:sz w:val="36"/>
        </w:rPr>
        <w:t>MINI-CATALOGUE</w:t>
      </w:r>
    </w:p>
    <w:p>
      <w:pPr>
        <w:spacing w:after="40"/>
      </w:pPr>
      <w:r>
        <w:rPr>
          <w:rFonts w:ascii="Aptos Display" w:hAnsi="Aptos Display"/>
          <w:b/>
          <w:i w:val="0"/>
          <w:color w:val="1C3963"/>
          <w:sz w:val="52"/>
        </w:rPr>
        <w:t>SOLUTIONS IA ET FORMATIONS STRATÉGIQUES</w:t>
      </w:r>
    </w:p>
    <w:p>
      <w:pPr>
        <w:spacing w:after="320"/>
      </w:pPr>
      <w:r>
        <w:rPr>
          <w:rFonts w:ascii="Aptos Display" w:hAnsi="Aptos Display"/>
          <w:b/>
          <w:i w:val="0"/>
          <w:color w:val="1C8A78"/>
          <w:sz w:val="38"/>
        </w:rPr>
        <w:t>pour les directions télécommunications et services digitaux</w:t>
      </w:r>
    </w:p>
    <w:p>
      <w:pPr>
        <w:spacing w:after="60"/>
      </w:pPr>
      <w:r>
        <w:rPr>
          <w:rFonts w:ascii="Aptos" w:hAnsi="Aptos"/>
          <w:b w:val="0"/>
          <w:i w:val="0"/>
          <w:color w:val="6B7C93"/>
          <w:sz w:val="25"/>
        </w:rPr>
        <w:t>Réseau · Service client · Mobile money · Distribution · Marketing · Performance</w:t>
      </w:r>
    </w:p>
    <w:p>
      <w:pPr>
        <w:spacing w:after="60"/>
      </w:pPr>
      <w:r>
        <w:rPr>
          <w:rFonts w:ascii="Aptos" w:hAnsi="Aptos"/>
          <w:b w:val="0"/>
          <w:i w:val="0"/>
          <w:color w:val="6B7C93"/>
          <w:sz w:val="25"/>
        </w:rPr>
        <w:t>Document de présentation sectoriel | Présentiel · Hybride · En ligne</w:t>
      </w:r>
    </w:p>
    <w:p>
      <w:pPr>
        <w:keepNext/>
        <w:pageBreakBefore w:val="0"/>
        <w:spacing w:before="20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PROMESSE CENTRALE</w:t>
      </w:r>
    </w:p>
    <w:p>
      <w:pPr>
        <w:spacing w:after="60"/>
      </w:pPr>
      <w:r>
        <w:rPr>
          <w:rFonts w:ascii="Aptos" w:hAnsi="Aptos"/>
          <w:b w:val="0"/>
          <w:i w:val="0"/>
          <w:color w:val="1C3963"/>
          <w:sz w:val="26"/>
        </w:rPr>
        <w:t>Transformer l’IA en usages concrets, activables et gouvernés pour améliorer la qualité de service, la coordination opérationnelle, la performance commerciale et la vitesse de décision dans les télécommunications.</w:t>
      </w:r>
    </w:p>
    <w:p>
      <w:pPr>
        <w:keepNext/>
        <w:pageBreakBefore w:val="0"/>
        <w:spacing w:before="16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POSITIONNEMENT DE L’OFFRE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354"/>
            <w:vAlign w:val="center"/>
            <w:shd w:fill="F8F3EC"/>
            <w:tcBorders>
              <w:top w:val="single" w:sz="8" w:color="F1A56E"/>
              <w:left w:val="single" w:sz="8" w:color="F1A56E"/>
              <w:bottom w:val="single" w:sz="8" w:color="F1A56E"/>
              <w:right w:val="single" w:sz="8" w:color="F1A56E"/>
            </w:tcBorders>
          </w:tcPr>
          <w:p>
            <w:pPr>
              <w:spacing w:after="60"/>
            </w:pPr>
            <w:r>
              <w:rPr>
                <w:rFonts w:ascii="Aptos Display" w:hAnsi="Aptos Display"/>
                <w:b/>
                <w:i w:val="0"/>
                <w:color w:val="1C3963"/>
                <w:sz w:val="32"/>
              </w:rPr>
              <w:t>Proposition ciblée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C3963"/>
                <w:sz w:val="25"/>
              </w:rPr>
              <w:t>TransferAI propose une trajectoire simple et pilotable : identifier les usages prioritaires, former les équipes concernées, sécuriser le cadre de confiance et lancer un premier pilote utile sur la base de KPI concrets.</w:t>
            </w:r>
          </w:p>
        </w:tc>
      </w:tr>
    </w:tbl>
    <w:p>
      <w:pPr>
        <w:keepNext/>
        <w:pageBreakBefore w:val="0"/>
        <w:spacing w:before="16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BÉNÉFICES MÉTIER VISIBLES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4"/>
        </w:rPr>
        <w:t>Réponses plus rapides, plus homogènes et mieux traçables sur les canaux clients.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4"/>
        </w:rPr>
        <w:t>Incidents réseau mieux relayés entre exploitation, relation client, communication interne et management.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4"/>
        </w:rPr>
        <w:t>Lecture plus rapide des verbatims, signaux de churn, irritants service et opportunités d’amélioration.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4"/>
        </w:rPr>
        <w:t>Meilleure qualité de préparation des comités commerciaux et opérationnels grâce à des synthèses plus exploitables.</w:t>
      </w:r>
    </w:p>
    <w:p>
      <w:pPr>
        <w:keepNext/>
        <w:pageBreakBefore/>
        <w:spacing w:before="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01 - SYNTHÈSE EXÉCUTIVE TÉLÉCOMMUNICATIONS</w:t>
      </w:r>
    </w:p>
    <w:p>
      <w:pPr>
        <w:spacing w:after="60"/>
      </w:pPr>
      <w:r>
        <w:rPr>
          <w:rFonts w:ascii="Aptos" w:hAnsi="Aptos"/>
          <w:b w:val="0"/>
          <w:i w:val="0"/>
          <w:color w:val="1C3963"/>
          <w:sz w:val="25"/>
        </w:rPr>
        <w:t>Dans les télécommunications, la valeur de l’IA se mesure rapidement à travers la stabilité du service, la vitesse de réponse client, la lisibilité des incidents, la qualité commerciale et la capacité des équipes à mieux coordonner leurs décisions.</w:t>
      </w:r>
    </w:p>
    <w:p>
      <w:pPr>
        <w:keepNext/>
        <w:spacing w:before="100" w:after="60"/>
      </w:pPr>
      <w:r>
        <w:rPr>
          <w:rFonts w:ascii="Aptos Display" w:hAnsi="Aptos Display"/>
          <w:b/>
          <w:i w:val="0"/>
          <w:color w:val="1C3963"/>
          <w:sz w:val="30"/>
        </w:rPr>
        <w:t>Priorités métier les plus crédibles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Incidents réseau parfois mal relayés entre équipes techniques, front office et management.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Relation client sous pression sur les demandes récurrentes, les réclamations et la qualité de réponse multi-canaux.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Lecture commerciale encore dispersée sur churn, upsell, satisfaction et qualité de service.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Coordination interéquipes à renforcer entre réseau, service client, marketing, mobile money et direction.</w:t>
      </w:r>
    </w:p>
    <w:p>
      <w:pPr>
        <w:keepNext/>
        <w:spacing w:before="100" w:after="60"/>
      </w:pPr>
      <w:r>
        <w:rPr>
          <w:rFonts w:ascii="Aptos Display" w:hAnsi="Aptos Display"/>
          <w:b/>
          <w:i w:val="0"/>
          <w:color w:val="1C3963"/>
          <w:sz w:val="30"/>
        </w:rPr>
        <w:t>KPI de référence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Temps moyen de réponse et taux de résolution au premier contact.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Temps de diffusion d’une synthèse d’incident fiable.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Délai d’analyse des verbatims et nombre de signaux priorisés.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Temps de préparation d’un comité et vitesse de décision managériale.</w:t>
      </w:r>
    </w:p>
    <w:p>
      <w:pPr>
        <w:keepNext/>
        <w:spacing w:before="100" w:after="60"/>
      </w:pPr>
      <w:r>
        <w:rPr>
          <w:rFonts w:ascii="Aptos Display" w:hAnsi="Aptos Display"/>
          <w:b/>
          <w:i w:val="0"/>
          <w:color w:val="1C3963"/>
          <w:sz w:val="30"/>
        </w:rPr>
        <w:t>Approche recommandée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354"/>
            <w:vAlign w:val="center"/>
            <w:shd w:fill="F8F3EC"/>
            <w:tcBorders>
              <w:top w:val="single" w:sz="8" w:color="F1A56E"/>
              <w:left w:val="single" w:sz="8" w:color="F1A56E"/>
              <w:bottom w:val="single" w:sz="8" w:color="F1A56E"/>
              <w:right w:val="single" w:sz="8" w:color="F1A56E"/>
            </w:tcBorders>
          </w:tcPr>
          <w:p>
            <w:pPr>
              <w:spacing w:after="60"/>
            </w:pPr>
            <w:r>
              <w:rPr>
                <w:rFonts w:ascii="Aptos Display" w:hAnsi="Aptos Display"/>
                <w:b/>
                <w:i w:val="0"/>
                <w:color w:val="1C3963"/>
                <w:sz w:val="32"/>
              </w:rPr>
              <w:t>Séquence recommandée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C3963"/>
                <w:sz w:val="25"/>
              </w:rPr>
              <w:t>Audit IA gratuit, cadrage des deux premiers cas d’usage prioritaires, bootcamp ciblé pour décideurs et équipes clés, puis accompagnement sur 90 jours avec KPI simples, supervision humaine et décision d’extension.</w:t>
            </w:r>
          </w:p>
        </w:tc>
      </w:tr>
    </w:tbl>
    <w:p>
      <w:pPr>
        <w:keepNext/>
        <w:spacing w:before="100" w:after="60"/>
      </w:pPr>
      <w:r>
        <w:rPr>
          <w:rFonts w:ascii="Aptos Display" w:hAnsi="Aptos Display"/>
          <w:b/>
          <w:i w:val="0"/>
          <w:color w:val="1C3963"/>
          <w:sz w:val="30"/>
        </w:rPr>
        <w:t>Résultats attendus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Réponses plus rapides sur les canaux clients grâce à des scripts, synthèses et aides à la qualification.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Incidents mieux pilotés côté réseau et exploitation grâce à une lecture commune des impacts.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Première feuille de route sur les usages IA à lancer en télécommunications.</w:t>
      </w:r>
    </w:p>
    <w:p>
      <w:pPr>
        <w:keepNext/>
        <w:pageBreakBefore/>
        <w:spacing w:before="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02 - FORMULE PRIORITAIRE</w:t>
      </w:r>
    </w:p>
    <w:p>
      <w:pPr>
        <w:keepNext/>
        <w:spacing w:before="40" w:after="40"/>
      </w:pPr>
      <w:r>
        <w:rPr>
          <w:rFonts w:ascii="Aptos Display" w:hAnsi="Aptos Display"/>
          <w:b/>
          <w:i w:val="0"/>
          <w:color w:val="1C3963"/>
          <w:sz w:val="27"/>
        </w:rPr>
        <w:t>Intitulé</w:t>
      </w:r>
    </w:p>
    <w:p>
      <w:pPr>
        <w:spacing w:after="60"/>
      </w:pPr>
      <w:r>
        <w:rPr>
          <w:rFonts w:ascii="Aptos" w:hAnsi="Aptos"/>
          <w:b w:val="0"/>
          <w:i w:val="0"/>
          <w:color w:val="1C3963"/>
          <w:sz w:val="24"/>
        </w:rPr>
        <w:t>Bootcamp IA Télécommunications : de l’acculturation utile au premier pilote mesurable.</w:t>
      </w:r>
    </w:p>
    <w:p>
      <w:pPr>
        <w:keepNext/>
        <w:spacing w:before="40" w:after="40"/>
      </w:pPr>
      <w:r>
        <w:rPr>
          <w:rFonts w:ascii="Aptos Display" w:hAnsi="Aptos Display"/>
          <w:b/>
          <w:i w:val="0"/>
          <w:color w:val="1C3963"/>
          <w:sz w:val="27"/>
        </w:rPr>
        <w:t>Public cible</w:t>
      </w:r>
    </w:p>
    <w:p>
      <w:pPr>
        <w:spacing w:after="60"/>
      </w:pPr>
      <w:r>
        <w:rPr>
          <w:rFonts w:ascii="Aptos" w:hAnsi="Aptos"/>
          <w:b w:val="0"/>
          <w:i w:val="0"/>
          <w:color w:val="1C3963"/>
          <w:sz w:val="24"/>
        </w:rPr>
        <w:t>Direction générale, service client, opérations réseau, marketing, vente B2B/B2C, qualité de service, mobile money.</w:t>
      </w:r>
    </w:p>
    <w:p>
      <w:pPr>
        <w:keepNext/>
        <w:spacing w:before="40" w:after="40"/>
      </w:pPr>
      <w:r>
        <w:rPr>
          <w:rFonts w:ascii="Aptos Display" w:hAnsi="Aptos Display"/>
          <w:b/>
          <w:i w:val="0"/>
          <w:color w:val="1C3963"/>
          <w:sz w:val="27"/>
        </w:rPr>
        <w:t>Formats possibles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Présentiel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Hybride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En ligne (style webinaire)</w:t>
      </w:r>
    </w:p>
    <w:p>
      <w:pPr>
        <w:keepNext/>
        <w:spacing w:before="40" w:after="40"/>
      </w:pPr>
      <w:r>
        <w:rPr>
          <w:rFonts w:ascii="Aptos Display" w:hAnsi="Aptos Display"/>
          <w:b/>
          <w:i w:val="0"/>
          <w:color w:val="1C3963"/>
          <w:sz w:val="27"/>
        </w:rPr>
        <w:t>Niveaux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Débutant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Intermédiaire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Avancé</w:t>
      </w:r>
    </w:p>
    <w:p>
      <w:pPr>
        <w:keepNext/>
        <w:spacing w:before="40" w:after="40"/>
      </w:pPr>
      <w:r>
        <w:rPr>
          <w:rFonts w:ascii="Aptos Display" w:hAnsi="Aptos Display"/>
          <w:b/>
          <w:i w:val="0"/>
          <w:color w:val="1C3963"/>
          <w:sz w:val="27"/>
        </w:rPr>
        <w:t>Durée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1 jour : version décideurs et managers.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2 jours : version équipes, managers et mise en pratique.</w:t>
      </w:r>
    </w:p>
    <w:p>
      <w:pPr>
        <w:keepNext/>
        <w:spacing w:before="40" w:after="40"/>
      </w:pPr>
      <w:r>
        <w:rPr>
          <w:rFonts w:ascii="Aptos Display" w:hAnsi="Aptos Display"/>
          <w:b/>
          <w:i w:val="0"/>
          <w:color w:val="1C3963"/>
          <w:sz w:val="27"/>
        </w:rPr>
        <w:t>Tarif</w:t>
      </w:r>
    </w:p>
    <w:p>
      <w:pPr>
        <w:spacing w:after="60"/>
      </w:pPr>
      <w:r>
        <w:rPr>
          <w:rFonts w:ascii="Aptos" w:hAnsi="Aptos"/>
          <w:b w:val="0"/>
          <w:i w:val="0"/>
          <w:color w:val="1C3963"/>
          <w:sz w:val="24"/>
        </w:rPr>
        <w:t>Prix sur demande.</w:t>
      </w:r>
    </w:p>
    <w:p>
      <w:pPr>
        <w:keepNext/>
        <w:spacing w:before="40" w:after="40"/>
      </w:pPr>
      <w:r>
        <w:rPr>
          <w:rFonts w:ascii="Aptos Display" w:hAnsi="Aptos Display"/>
          <w:b/>
          <w:i w:val="0"/>
          <w:color w:val="1C3963"/>
          <w:sz w:val="27"/>
        </w:rPr>
        <w:t>Objectifs pédagogiques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Identifier les priorités métier les plus crédibles à traiter par l’IA dans les télécommunications.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Structurer les usages liés à la relation client, à la lecture des incidents, au churn et au pilotage commercial.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Distinguer les usages activables rapidement, ceux à encadrer et ceux à piloter dans le temps.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Définir des KPI simples, un cadre de confiance et un premier plan d’action à 90 jours.</w:t>
      </w:r>
    </w:p>
    <w:p>
      <w:pPr>
        <w:keepNext/>
        <w:spacing w:before="40" w:after="40"/>
      </w:pPr>
      <w:r>
        <w:rPr>
          <w:rFonts w:ascii="Aptos Display" w:hAnsi="Aptos Display"/>
          <w:b/>
          <w:i w:val="0"/>
          <w:color w:val="1C3963"/>
          <w:sz w:val="27"/>
        </w:rPr>
        <w:t>Formations proposées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Service client augmenté par l’IA.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Analyse de sentiment et feedback client.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Relation client augmentée par l’IA.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Pilotage réseau et qualité de service avec l’IA.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Leadership data-driven avec l’IA.</w:t>
      </w:r>
    </w:p>
    <w:p>
      <w:pPr>
        <w:keepNext/>
        <w:pageBreakBefore/>
        <w:spacing w:before="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03 - PROGRAMME PROPOSÉ</w:t>
      </w:r>
    </w:p>
    <w:p>
      <w:pPr>
        <w:keepNext/>
        <w:spacing w:before="100" w:after="60"/>
      </w:pPr>
      <w:r>
        <w:rPr>
          <w:rFonts w:ascii="Aptos Display" w:hAnsi="Aptos Display"/>
          <w:b/>
          <w:i w:val="0"/>
          <w:color w:val="1C3963"/>
          <w:sz w:val="30"/>
        </w:rPr>
        <w:t>Jour 1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Lecture des enjeux télécoms, cartographie des irritants prioritaires et sélection des premiers gains visés.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Études de cas guidées sur la relation client augmentée et la synthèse d’incidents réseau.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Méthodes, prompts, routines et gestes métier autour des verbatims, signaux de churn et synthèses opérationnelles.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Cadre de confiance : confidentialité, validation managériale, supervision humaine et critères d’extension.</w:t>
      </w:r>
    </w:p>
    <w:p>
      <w:pPr>
        <w:keepNext/>
        <w:spacing w:before="100" w:after="60"/>
      </w:pPr>
      <w:r>
        <w:rPr>
          <w:rFonts w:ascii="Aptos Display" w:hAnsi="Aptos Display"/>
          <w:b/>
          <w:i w:val="0"/>
          <w:color w:val="1C3963"/>
          <w:sz w:val="30"/>
        </w:rPr>
        <w:t>Jour 2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Ateliers de conception sur le pilotage commercial, la qualité de service et les routines interéquipes.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Construction d’un premier canevas de pilote, des KPI de suivi et des livrables attendus.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Approfondissements recommandés : mobile money, distribution, marketing télécom et pilotage réseau.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Plan d’action à 90 jours : gouvernance, équipes à former, priorités de déploiement et décision d’extension.</w:t>
      </w:r>
    </w:p>
    <w:p>
      <w:pPr>
        <w:keepNext/>
        <w:pageBreakBefore w:val="0"/>
        <w:spacing w:before="16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04 - LIVRABLES ATTENDUS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Une note de cadrage télécommunications avec priorités confirmées, risques, points de vigilance et premières décisions.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Une matrice des usages prioritaires applicable au service client, au réseau, au churn et au pilotage commercial.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Un canevas de pilote à 90 jours avec KPI, rôles, supervision et critères de succès.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Une recommandation de parcours de montée en compétences pour les décideurs et équipes télécoms ciblées.</w:t>
      </w:r>
    </w:p>
    <w:p>
      <w:pPr>
        <w:keepNext/>
        <w:pageBreakBefore w:val="0"/>
        <w:spacing w:before="16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05 - DOMAINES DE RÉFÉRENCE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Service client et relation omnicanale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Incidents réseau et coordination opérationnelle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Lecture des verbatims et signaux de churn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Pilotage commercial et qualité de service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Mobile money, distribution et performance</w:t>
      </w:r>
    </w:p>
    <w:sectPr w:rsidR="00FC693F" w:rsidRPr="0006063C" w:rsidSect="00034616">
      <w:footerReference w:type="default" r:id="rId9"/>
      <w:pgSz w:w="11906" w:h="16838"/>
      <w:pgMar w:top="113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B7C93"/>
        <w:sz w:val="17"/>
      </w:rPr>
      <w:t>TransferAI Africa | www.transferai.ci | IA Assistant / WhatsApp : +225 07 16 57 39 90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