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jc w:val="right"/>
      </w:pPr>
      <w:r>
        <w:rPr>
          <w:rFonts w:ascii="Aptos" w:hAnsi="Aptos"/>
          <w:b w:val="0"/>
          <w:i w:val="0"/>
          <w:color w:val="6B7C93"/>
          <w:sz w:val="23"/>
        </w:rPr>
        <w:t>Mini-catalogue ciblé | Formation, accompagnement et gouvernance IA</w:t>
      </w:r>
    </w:p>
    <w:p>
      <w:pPr>
        <w:spacing w:after="0"/>
      </w:pPr>
      <w:r>
        <w:rPr>
          <w:rFonts w:ascii="Aptos Display" w:hAnsi="Aptos Display"/>
          <w:b/>
          <w:i w:val="0"/>
          <w:color w:val="EF6C12"/>
          <w:sz w:val="36"/>
        </w:rPr>
        <w:t>MINI-CATALOGUE</w:t>
      </w:r>
    </w:p>
    <w:p>
      <w:pPr>
        <w:spacing w:after="40"/>
      </w:pPr>
      <w:r>
        <w:rPr>
          <w:rFonts w:ascii="Aptos Display" w:hAnsi="Aptos Display"/>
          <w:b/>
          <w:i w:val="0"/>
          <w:color w:val="1C3963"/>
          <w:sz w:val="52"/>
        </w:rPr>
        <w:t>SOLUTIONS IA ET FORMATIONS STRATÉGIQUES</w:t>
      </w:r>
    </w:p>
    <w:p>
      <w:pPr>
        <w:spacing w:after="320"/>
      </w:pPr>
      <w:r>
        <w:rPr>
          <w:rFonts w:ascii="Aptos Display" w:hAnsi="Aptos Display"/>
          <w:b/>
          <w:i w:val="0"/>
          <w:color w:val="1C8A78"/>
          <w:sz w:val="44"/>
        </w:rPr>
        <w:t>pour Orange Côte d'Ivoire</w:t>
      </w:r>
    </w:p>
    <w:p>
      <w:pPr>
        <w:spacing w:after="60"/>
      </w:pPr>
      <w:r>
        <w:rPr>
          <w:rFonts w:ascii="Aptos" w:hAnsi="Aptos"/>
          <w:b w:val="0"/>
          <w:i w:val="0"/>
          <w:color w:val="6B7C93"/>
          <w:sz w:val="25"/>
        </w:rPr>
        <w:t>Télécommunications · Relation client · Opérations réseau · Côte d’Ivoire</w:t>
      </w:r>
    </w:p>
    <w:p>
      <w:pPr>
        <w:spacing w:after="60"/>
      </w:pPr>
      <w:r>
        <w:rPr>
          <w:rFonts w:ascii="Aptos" w:hAnsi="Aptos"/>
          <w:b w:val="0"/>
          <w:i w:val="0"/>
          <w:color w:val="6B7C93"/>
          <w:sz w:val="25"/>
        </w:rPr>
        <w:t>Version ciblée sans date | www.orange.ci</w:t>
      </w:r>
    </w:p>
    <w:p>
      <w:pPr>
        <w:spacing w:before="200" w:after="80"/>
      </w:pPr>
      <w:r>
        <w:rPr>
          <w:rFonts w:ascii="Aptos" w:hAnsi="Aptos"/>
          <w:b/>
          <w:i w:val="0"/>
          <w:color w:val="EF6C12"/>
          <w:sz w:val="36"/>
        </w:rPr>
        <w:t xml:space="preserve">▌ </w:t>
      </w:r>
      <w:r>
        <w:rPr>
          <w:rFonts w:ascii="Aptos Display" w:hAnsi="Aptos Display"/>
          <w:b/>
          <w:i w:val="0"/>
          <w:color w:val="1C3963"/>
          <w:sz w:val="42"/>
        </w:rPr>
        <w:t>QUI SOMMES-NOUS</w:t>
      </w:r>
    </w:p>
    <w:p>
      <w:pPr>
        <w:spacing w:after="120"/>
      </w:pPr>
      <w:r>
        <w:rPr>
          <w:rFonts w:ascii="Aptos Display" w:hAnsi="Aptos Display"/>
          <w:b/>
          <w:i w:val="0"/>
          <w:color w:val="1C3963"/>
          <w:sz w:val="46"/>
        </w:rPr>
        <w:t>TransferAI Africa</w:t>
      </w:r>
    </w:p>
    <w:p>
      <w:pPr>
        <w:spacing w:after="160"/>
      </w:pPr>
      <w:r>
        <w:rPr>
          <w:rFonts w:ascii="Aptos" w:hAnsi="Aptos"/>
          <w:b w:val="0"/>
          <w:i w:val="0"/>
          <w:color w:val="1C8A78"/>
          <w:sz w:val="36"/>
        </w:rPr>
        <w:t>Hub IA de NettelecomCI en Côte d’Ivoire</w:t>
      </w:r>
    </w:p>
    <w:p>
      <w:pPr>
        <w:pStyle w:val="ListBullet"/>
        <w:spacing w:after="40"/>
      </w:pPr>
      <w:r>
        <w:rPr>
          <w:rFonts w:ascii="Aptos" w:hAnsi="Aptos"/>
          <w:b w:val="0"/>
          <w:i w:val="0"/>
          <w:color w:val="1C3963"/>
          <w:sz w:val="24"/>
        </w:rPr>
        <w:t>13 experts ivoiriens et internationaux mobilisables.</w:t>
      </w:r>
    </w:p>
    <w:p>
      <w:pPr>
        <w:pStyle w:val="ListBullet"/>
        <w:spacing w:after="40"/>
      </w:pPr>
      <w:r>
        <w:rPr>
          <w:rFonts w:ascii="Aptos" w:hAnsi="Aptos"/>
          <w:b w:val="0"/>
          <w:i w:val="0"/>
          <w:color w:val="1C3963"/>
          <w:sz w:val="24"/>
        </w:rPr>
        <w:t>Bases d’intervention : Côte d’Ivoire, Royaume-Uni, États-Unis et Inde.</w:t>
      </w:r>
    </w:p>
    <w:p>
      <w:pPr>
        <w:pStyle w:val="ListBullet"/>
        <w:spacing w:after="40"/>
      </w:pPr>
      <w:r>
        <w:rPr>
          <w:rFonts w:ascii="Aptos" w:hAnsi="Aptos"/>
          <w:b w:val="0"/>
          <w:i w:val="0"/>
          <w:color w:val="1C3963"/>
          <w:sz w:val="24"/>
        </w:rPr>
        <w:t>Cas d’usage concrets et transposables dans les télécommunications, la finance, l’énergie et les services.</w:t>
      </w:r>
    </w:p>
    <w:p>
      <w:pPr>
        <w:pStyle w:val="ListBullet"/>
        <w:spacing w:after="40"/>
      </w:pPr>
      <w:r>
        <w:rPr>
          <w:rFonts w:ascii="Aptos" w:hAnsi="Aptos"/>
          <w:b w:val="0"/>
          <w:i w:val="0"/>
          <w:color w:val="1C3963"/>
          <w:sz w:val="24"/>
        </w:rPr>
        <w:t>Accompagnement pragmatique combiné à la formation, au pilotage et à la gouvernance.</w:t>
      </w:r>
    </w:p>
    <w:p>
      <w:pPr>
        <w:spacing w:before="200" w:after="80"/>
      </w:pPr>
      <w:r>
        <w:rPr>
          <w:rFonts w:ascii="Aptos" w:hAnsi="Aptos"/>
          <w:b/>
          <w:i w:val="0"/>
          <w:color w:val="EF6C12"/>
          <w:sz w:val="36"/>
        </w:rPr>
        <w:t xml:space="preserve">▌ </w:t>
      </w:r>
      <w:r>
        <w:rPr>
          <w:rFonts w:ascii="Aptos Display" w:hAnsi="Aptos Display"/>
          <w:b/>
          <w:i w:val="0"/>
          <w:color w:val="1C3963"/>
          <w:sz w:val="42"/>
        </w:rPr>
        <w:t>NOTRE MISSION</w:t>
      </w:r>
    </w:p>
    <w:p>
      <w:pPr>
        <w:spacing w:after="80"/>
      </w:pPr>
      <w:r>
        <w:rPr>
          <w:rFonts w:ascii="Aptos" w:hAnsi="Aptos"/>
          <w:b w:val="0"/>
          <w:i w:val="0"/>
          <w:color w:val="1C3963"/>
          <w:sz w:val="26"/>
        </w:rPr>
        <w:t>Transformer l’IA en solutions concrètes, utiles et immédiatement activables pour les organisations africaines.</w:t>
      </w:r>
    </w:p>
    <w:p>
      <w:pPr>
        <w:spacing w:before="120" w:after="80"/>
      </w:pPr>
      <w:r>
        <w:rPr>
          <w:rFonts w:ascii="Aptos" w:hAnsi="Aptos"/>
          <w:b/>
          <w:i w:val="0"/>
          <w:color w:val="EF6C12"/>
          <w:sz w:val="36"/>
        </w:rPr>
        <w:t xml:space="preserve">▌ </w:t>
      </w:r>
      <w:r>
        <w:rPr>
          <w:rFonts w:ascii="Aptos Display" w:hAnsi="Aptos Display"/>
          <w:b/>
          <w:i w:val="0"/>
          <w:color w:val="1C3963"/>
          <w:sz w:val="42"/>
        </w:rPr>
        <w:t>NOTRE ENGAGEMENT</w:t>
      </w:r>
    </w:p>
    <w:p>
      <w:pPr>
        <w:spacing w:after="80"/>
      </w:pPr>
      <w:r>
        <w:rPr>
          <w:rFonts w:ascii="Aptos" w:hAnsi="Aptos"/>
          <w:b w:val="0"/>
          <w:i w:val="0"/>
          <w:color w:val="1C3963"/>
          <w:sz w:val="26"/>
        </w:rPr>
        <w:t>Pas de l’IA pour l’IA : des solutions de performance, de formation et de transformation adaptées aux réalités terrain de chaque prospect.</w:t>
      </w:r>
    </w:p>
    <w:p>
      <w:pPr>
        <w:spacing w:before="160" w:after="80"/>
      </w:pPr>
      <w:r>
        <w:rPr>
          <w:rFonts w:ascii="Aptos" w:hAnsi="Aptos"/>
          <w:b/>
          <w:i w:val="0"/>
          <w:color w:val="EF6C12"/>
          <w:sz w:val="36"/>
        </w:rPr>
        <w:t xml:space="preserve">▌ </w:t>
      </w:r>
      <w:r>
        <w:rPr>
          <w:rFonts w:ascii="Aptos Display" w:hAnsi="Aptos Display"/>
          <w:b/>
          <w:i w:val="0"/>
          <w:color w:val="1C3963"/>
          <w:sz w:val="42"/>
        </w:rPr>
        <w:t>MESSAGE CENTRAL POUR ORANGE CÔTE D’IVOIRE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Proposition ciblée</w:t>
            </w:r>
          </w:p>
          <w:p>
            <w:pPr>
              <w:spacing w:after="0"/>
            </w:pPr>
            <w:r>
              <w:rPr>
                <w:rFonts w:ascii="Aptos" w:hAnsi="Aptos"/>
                <w:b w:val="0"/>
                <w:i w:val="0"/>
                <w:color w:val="1C3963"/>
                <w:sz w:val="25"/>
              </w:rPr>
              <w:t>La recommandation n’est pas un catalogue large, mais une séquence ciblée entre audit, cas d’usage priorisés, formation utile, accompagnement sur 90 jours et décision d’extension sur la base de KPI concrets.</w:t>
            </w:r>
          </w:p>
        </w:tc>
      </w:tr>
    </w:tbl>
    <w:p>
      <w:pPr>
        <w:spacing w:before="160" w:after="80"/>
      </w:pPr>
      <w:r>
        <w:rPr>
          <w:rFonts w:ascii="Aptos" w:hAnsi="Aptos"/>
          <w:b/>
          <w:i w:val="0"/>
          <w:color w:val="EF6C12"/>
          <w:sz w:val="36"/>
        </w:rPr>
        <w:t xml:space="preserve">▌ </w:t>
      </w:r>
      <w:r>
        <w:rPr>
          <w:rFonts w:ascii="Aptos Display" w:hAnsi="Aptos Display"/>
          <w:b/>
          <w:i w:val="0"/>
          <w:color w:val="1C3963"/>
          <w:sz w:val="42"/>
        </w:rPr>
        <w:t>HYPOTHÈSE DE GAINS ATTENDUS</w:t>
      </w:r>
    </w:p>
    <w:p>
      <w:pPr>
        <w:pStyle w:val="ListBullet"/>
        <w:spacing w:after="40"/>
      </w:pPr>
      <w:r>
        <w:rPr>
          <w:rFonts w:ascii="Aptos" w:hAnsi="Aptos"/>
          <w:b w:val="0"/>
          <w:i w:val="0"/>
          <w:color w:val="1C3963"/>
          <w:sz w:val="24"/>
        </w:rPr>
        <w:t>Réponses plus rapides et plus homogènes sur les canaux clients.</w:t>
      </w:r>
    </w:p>
    <w:p>
      <w:pPr>
        <w:pStyle w:val="ListBullet"/>
        <w:spacing w:after="40"/>
      </w:pPr>
      <w:r>
        <w:rPr>
          <w:rFonts w:ascii="Aptos" w:hAnsi="Aptos"/>
          <w:b w:val="0"/>
          <w:i w:val="0"/>
          <w:color w:val="1C3963"/>
          <w:sz w:val="24"/>
        </w:rPr>
        <w:t>Incidents réseau mieux relayés entre exploitation, relation client et management.</w:t>
      </w:r>
    </w:p>
    <w:p>
      <w:pPr>
        <w:pStyle w:val="ListBullet"/>
        <w:spacing w:after="40"/>
      </w:pPr>
      <w:r>
        <w:rPr>
          <w:rFonts w:ascii="Aptos" w:hAnsi="Aptos"/>
          <w:b w:val="0"/>
          <w:i w:val="0"/>
          <w:color w:val="1C3963"/>
          <w:sz w:val="24"/>
        </w:rPr>
        <w:t>Lecture plus rapide des verbatims, signaux de churn et irritants service.</w:t>
      </w:r>
    </w:p>
    <w:p>
      <w:pPr>
        <w:pStyle w:val="ListBullet"/>
        <w:spacing w:after="40"/>
      </w:pPr>
      <w:r>
        <w:rPr>
          <w:rFonts w:ascii="Aptos" w:hAnsi="Aptos"/>
          <w:b w:val="0"/>
          <w:i w:val="0"/>
          <w:color w:val="1C3963"/>
          <w:sz w:val="24"/>
        </w:rPr>
        <w:t>Meilleure qualité de préparation des comités commerciaux et opérationnels.</w:t>
      </w:r>
    </w:p>
    <w:p>
      <w:r>
        <w:br w:type="page"/>
      </w:r>
    </w:p>
    <w:p>
      <w:pPr>
        <w:spacing w:before="0" w:after="80"/>
      </w:pPr>
      <w:r>
        <w:rPr>
          <w:rFonts w:ascii="Aptos" w:hAnsi="Aptos"/>
          <w:b/>
          <w:i w:val="0"/>
          <w:color w:val="EF6C12"/>
          <w:sz w:val="36"/>
        </w:rPr>
        <w:t xml:space="preserve">▌ </w:t>
      </w:r>
      <w:r>
        <w:rPr>
          <w:rFonts w:ascii="Aptos Display" w:hAnsi="Aptos Display"/>
          <w:b/>
          <w:i w:val="0"/>
          <w:color w:val="1C3963"/>
          <w:sz w:val="42"/>
        </w:rPr>
        <w:t>01 - SYNTHÈSE EXÉCUTIVE POUR ORANGE CÔTE D’IVOIRE</w:t>
      </w:r>
    </w:p>
    <w:p>
      <w:pPr>
        <w:spacing w:after="80"/>
      </w:pPr>
      <w:r>
        <w:rPr>
          <w:rFonts w:ascii="Aptos" w:hAnsi="Aptos"/>
          <w:b w:val="0"/>
          <w:i w:val="0"/>
          <w:color w:val="1C3963"/>
          <w:sz w:val="25"/>
        </w:rPr>
        <w:t>Dans les télécommunications, la valeur de l’IA se lit rapidement dans la stabilité du service, la vitesse de réponse client, la lisibilité des incidents, la qualité commerciale et la coordination entre les équipes réseau, relation client et management.</w:t>
      </w:r>
    </w:p>
    <w:p>
      <w:pPr>
        <w:spacing w:before="120" w:after="80"/>
      </w:pPr>
      <w:r>
        <w:rPr>
          <w:rFonts w:ascii="Aptos Display" w:hAnsi="Aptos Display"/>
          <w:b/>
          <w:i w:val="0"/>
          <w:color w:val="1C3963"/>
          <w:sz w:val="33"/>
        </w:rPr>
        <w:t>Priorités métier les plus crédibles</w:t>
      </w:r>
    </w:p>
    <w:p>
      <w:pPr>
        <w:pStyle w:val="ListBullet"/>
        <w:spacing w:after="40"/>
      </w:pPr>
      <w:r>
        <w:rPr>
          <w:rFonts w:ascii="Aptos" w:hAnsi="Aptos"/>
          <w:b w:val="0"/>
          <w:i w:val="0"/>
          <w:color w:val="1C3963"/>
          <w:sz w:val="25"/>
        </w:rPr>
        <w:t>Incidents réseau mal relayés entre équipes techniques, front office et management.</w:t>
      </w:r>
    </w:p>
    <w:p>
      <w:pPr>
        <w:pStyle w:val="ListBullet"/>
        <w:spacing w:after="40"/>
      </w:pPr>
      <w:r>
        <w:rPr>
          <w:rFonts w:ascii="Aptos" w:hAnsi="Aptos"/>
          <w:b w:val="0"/>
          <w:i w:val="0"/>
          <w:color w:val="1C3963"/>
          <w:sz w:val="25"/>
        </w:rPr>
        <w:t>Relation client sous pression sur les demandes récurrentes, les réclamations et la qualité de réponse multi-canaux.</w:t>
      </w:r>
    </w:p>
    <w:p>
      <w:pPr>
        <w:pStyle w:val="ListBullet"/>
        <w:spacing w:after="40"/>
      </w:pPr>
      <w:r>
        <w:rPr>
          <w:rFonts w:ascii="Aptos" w:hAnsi="Aptos"/>
          <w:b w:val="0"/>
          <w:i w:val="0"/>
          <w:color w:val="1C3963"/>
          <w:sz w:val="25"/>
        </w:rPr>
        <w:t>Lecture commerciale dispersée sur churn, upsell, satisfaction et qualité de service.</w:t>
      </w:r>
    </w:p>
    <w:p>
      <w:pPr>
        <w:pStyle w:val="ListBullet"/>
        <w:spacing w:after="40"/>
      </w:pPr>
      <w:r>
        <w:rPr>
          <w:rFonts w:ascii="Aptos" w:hAnsi="Aptos"/>
          <w:b w:val="0"/>
          <w:i w:val="0"/>
          <w:color w:val="1C3963"/>
          <w:sz w:val="25"/>
        </w:rPr>
        <w:t>Coordination interéquipes perfectible entre réseau, service client, marketing, mobile money et direction.</w:t>
      </w:r>
    </w:p>
    <w:p>
      <w:pPr>
        <w:spacing w:before="120" w:after="80"/>
      </w:pPr>
      <w:r>
        <w:rPr>
          <w:rFonts w:ascii="Aptos Display" w:hAnsi="Aptos Display"/>
          <w:b/>
          <w:i w:val="0"/>
          <w:color w:val="1C3963"/>
          <w:sz w:val="33"/>
        </w:rPr>
        <w:t>Proposition ciblée TransferAI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Séquence recommandée</w:t>
            </w:r>
          </w:p>
          <w:p>
            <w:pPr>
              <w:spacing w:after="0"/>
            </w:pPr>
            <w:r>
              <w:rPr>
                <w:rFonts w:ascii="Aptos" w:hAnsi="Aptos"/>
                <w:b w:val="0"/>
                <w:i w:val="0"/>
                <w:color w:val="1C3963"/>
                <w:sz w:val="25"/>
              </w:rPr>
              <w:t>Audit IA gratuit, cadrage des deux premiers cas d’usage, bootcamp ciblé décideurs + équipes clés, puis accompagnement sur 90 jours avec KPI simples, supervision humaine et décision d’extension.</w:t>
            </w:r>
          </w:p>
        </w:tc>
      </w:tr>
    </w:tbl>
    <w:p>
      <w:pPr>
        <w:spacing w:before="120" w:after="80"/>
      </w:pPr>
      <w:r>
        <w:rPr>
          <w:rFonts w:ascii="Aptos Display" w:hAnsi="Aptos Display"/>
          <w:b/>
          <w:i w:val="0"/>
          <w:color w:val="1C3963"/>
          <w:sz w:val="33"/>
        </w:rPr>
        <w:t>Résultats attendus</w:t>
      </w:r>
    </w:p>
    <w:p>
      <w:pPr>
        <w:pStyle w:val="ListBullet"/>
        <w:spacing w:after="40"/>
      </w:pPr>
      <w:r>
        <w:rPr>
          <w:rFonts w:ascii="Aptos" w:hAnsi="Aptos"/>
          <w:b w:val="0"/>
          <w:i w:val="0"/>
          <w:color w:val="1C3963"/>
          <w:sz w:val="25"/>
        </w:rPr>
        <w:t>Temps moyen de réponse réduit sur les canaux clients.</w:t>
      </w:r>
    </w:p>
    <w:p>
      <w:pPr>
        <w:pStyle w:val="ListBullet"/>
        <w:spacing w:after="40"/>
      </w:pPr>
      <w:r>
        <w:rPr>
          <w:rFonts w:ascii="Aptos" w:hAnsi="Aptos"/>
          <w:b w:val="0"/>
          <w:i w:val="0"/>
          <w:color w:val="1C3963"/>
          <w:sz w:val="25"/>
        </w:rPr>
        <w:t>Meilleure qualité de synthèse lors des incidents réseau et des perturbations majeures.</w:t>
      </w:r>
    </w:p>
    <w:p>
      <w:pPr>
        <w:pStyle w:val="ListBullet"/>
        <w:spacing w:after="40"/>
      </w:pPr>
      <w:r>
        <w:rPr>
          <w:rFonts w:ascii="Aptos" w:hAnsi="Aptos"/>
          <w:b w:val="0"/>
          <w:i w:val="0"/>
          <w:color w:val="1C3963"/>
          <w:sz w:val="25"/>
        </w:rPr>
        <w:t>Lecture plus rapide des signaux d’insatisfaction et des motifs de churn.</w:t>
      </w:r>
    </w:p>
    <w:p>
      <w:pPr>
        <w:pStyle w:val="ListBullet"/>
        <w:spacing w:after="40"/>
      </w:pPr>
      <w:r>
        <w:rPr>
          <w:rFonts w:ascii="Aptos" w:hAnsi="Aptos"/>
          <w:b w:val="0"/>
          <w:i w:val="0"/>
          <w:color w:val="1C3963"/>
          <w:sz w:val="25"/>
        </w:rPr>
        <w:t>Décisions managériales mieux préparées grâce à des KPI commentés et plus actionnables.</w:t>
      </w:r>
    </w:p>
    <w:p>
      <w:r>
        <w:br w:type="page"/>
      </w:r>
    </w:p>
    <w:p>
      <w:pPr>
        <w:spacing w:before="0" w:after="80"/>
      </w:pPr>
      <w:r>
        <w:rPr>
          <w:rFonts w:ascii="Aptos" w:hAnsi="Aptos"/>
          <w:b/>
          <w:i w:val="0"/>
          <w:color w:val="EF6C12"/>
          <w:sz w:val="36"/>
        </w:rPr>
        <w:t xml:space="preserve">▌ </w:t>
      </w:r>
      <w:r>
        <w:rPr>
          <w:rFonts w:ascii="Aptos Display" w:hAnsi="Aptos Display"/>
          <w:b/>
          <w:i w:val="0"/>
          <w:color w:val="1C3963"/>
          <w:sz w:val="42"/>
        </w:rPr>
        <w:t>02 - CAS D’USAGE PRIORITAIRES</w:t>
      </w:r>
    </w:p>
    <w:p>
      <w:pPr>
        <w:spacing w:before="120" w:after="80"/>
      </w:pPr>
      <w:r>
        <w:rPr>
          <w:rFonts w:ascii="Aptos Display" w:hAnsi="Aptos Display"/>
          <w:b/>
          <w:i w:val="0"/>
          <w:color w:val="1C3963"/>
          <w:sz w:val="33"/>
        </w:rPr>
        <w:t>Centre de contact augmenté par l’IA</w:t>
      </w:r>
    </w:p>
    <w:p>
      <w:pPr>
        <w:spacing w:after="80"/>
      </w:pPr>
      <w:r>
        <w:rPr>
          <w:rFonts w:ascii="Aptos" w:hAnsi="Aptos"/>
          <w:b w:val="0"/>
          <w:i w:val="0"/>
          <w:color w:val="1C3963"/>
          <w:sz w:val="25"/>
        </w:rPr>
        <w:t>Scripts, réponses assistées, résumés d’échanges et routage plus homogènes pour améliorer la résolution au premier contact.</w:t>
      </w:r>
    </w:p>
    <w:p>
      <w:pPr>
        <w:spacing w:before="120" w:after="80"/>
      </w:pPr>
      <w:r>
        <w:rPr>
          <w:rFonts w:ascii="Aptos Display" w:hAnsi="Aptos Display"/>
          <w:b/>
          <w:i w:val="0"/>
          <w:color w:val="1C3963"/>
          <w:sz w:val="33"/>
        </w:rPr>
        <w:t>Synthèse d’incidents réseau et communication interne</w:t>
      </w:r>
    </w:p>
    <w:p>
      <w:pPr>
        <w:spacing w:after="80"/>
      </w:pPr>
      <w:r>
        <w:rPr>
          <w:rFonts w:ascii="Aptos" w:hAnsi="Aptos"/>
          <w:b w:val="0"/>
          <w:i w:val="0"/>
          <w:color w:val="1C3963"/>
          <w:sz w:val="25"/>
        </w:rPr>
        <w:t>Production plus rapide d’une synthèse fiable pour coordonner exploitation, service client, direction et communication de crise.</w:t>
      </w:r>
    </w:p>
    <w:p>
      <w:pPr>
        <w:spacing w:before="120" w:after="80"/>
      </w:pPr>
      <w:r>
        <w:rPr>
          <w:rFonts w:ascii="Aptos Display" w:hAnsi="Aptos Display"/>
          <w:b/>
          <w:i w:val="0"/>
          <w:color w:val="1C3963"/>
          <w:sz w:val="33"/>
        </w:rPr>
        <w:t>Lecture des verbatims clients et signaux de churn</w:t>
      </w:r>
    </w:p>
    <w:p>
      <w:pPr>
        <w:spacing w:after="80"/>
      </w:pPr>
      <w:r>
        <w:rPr>
          <w:rFonts w:ascii="Aptos" w:hAnsi="Aptos"/>
          <w:b w:val="0"/>
          <w:i w:val="0"/>
          <w:color w:val="1C3963"/>
          <w:sz w:val="25"/>
        </w:rPr>
        <w:t>Regroupement plus exploitable des motifs d’insatisfaction, incidents récurrents et attentes clients à forte valeur d’action.</w:t>
      </w:r>
    </w:p>
    <w:p>
      <w:pPr>
        <w:spacing w:before="120" w:after="80"/>
      </w:pPr>
      <w:r>
        <w:rPr>
          <w:rFonts w:ascii="Aptos Display" w:hAnsi="Aptos Display"/>
          <w:b/>
          <w:i w:val="0"/>
          <w:color w:val="1C3963"/>
          <w:sz w:val="33"/>
        </w:rPr>
        <w:t>Pilotage commercial et qualité de service</w:t>
      </w:r>
    </w:p>
    <w:p>
      <w:pPr>
        <w:spacing w:after="80"/>
      </w:pPr>
      <w:r>
        <w:rPr>
          <w:rFonts w:ascii="Aptos" w:hAnsi="Aptos"/>
          <w:b w:val="0"/>
          <w:i w:val="0"/>
          <w:color w:val="1C3963"/>
          <w:sz w:val="25"/>
        </w:rPr>
        <w:t>Préparation accélérée des comités, lecture plus claire des arbitrages et commentaires plus utiles sur les KPI prioritaires.</w:t>
      </w:r>
    </w:p>
    <w:p>
      <w:pPr>
        <w:spacing w:before="120" w:after="80"/>
      </w:pPr>
      <w:r>
        <w:rPr>
          <w:rFonts w:ascii="Aptos Display" w:hAnsi="Aptos Display"/>
          <w:b/>
          <w:i w:val="0"/>
          <w:color w:val="1C3963"/>
          <w:sz w:val="33"/>
        </w:rPr>
        <w:t>KPI de référence</w:t>
      </w:r>
    </w:p>
    <w:p>
      <w:pPr>
        <w:pStyle w:val="ListNumber"/>
        <w:spacing w:after="40"/>
      </w:pPr>
      <w:r>
        <w:rPr>
          <w:rFonts w:ascii="Aptos" w:hAnsi="Aptos"/>
          <w:b w:val="0"/>
          <w:i w:val="0"/>
          <w:color w:val="1C3963"/>
          <w:sz w:val="24"/>
        </w:rPr>
        <w:t>Temps moyen de réponse et taux de résolution au premier contact.</w:t>
      </w:r>
    </w:p>
    <w:p>
      <w:pPr>
        <w:pStyle w:val="ListNumber"/>
        <w:spacing w:after="40"/>
      </w:pPr>
      <w:r>
        <w:rPr>
          <w:rFonts w:ascii="Aptos" w:hAnsi="Aptos"/>
          <w:b w:val="0"/>
          <w:i w:val="0"/>
          <w:color w:val="1C3963"/>
          <w:sz w:val="24"/>
        </w:rPr>
        <w:t>Temps de diffusion d’une synthèse d’incident fiable.</w:t>
      </w:r>
    </w:p>
    <w:p>
      <w:pPr>
        <w:pStyle w:val="ListNumber"/>
        <w:spacing w:after="40"/>
      </w:pPr>
      <w:r>
        <w:rPr>
          <w:rFonts w:ascii="Aptos" w:hAnsi="Aptos"/>
          <w:b w:val="0"/>
          <w:i w:val="0"/>
          <w:color w:val="1C3963"/>
          <w:sz w:val="24"/>
        </w:rPr>
        <w:t>Délai d’analyse des verbatims et nombre de signaux priorisés.</w:t>
      </w:r>
    </w:p>
    <w:p>
      <w:pPr>
        <w:pStyle w:val="ListNumber"/>
        <w:spacing w:after="40"/>
      </w:pPr>
      <w:r>
        <w:rPr>
          <w:rFonts w:ascii="Aptos" w:hAnsi="Aptos"/>
          <w:b w:val="0"/>
          <w:i w:val="0"/>
          <w:color w:val="1C3963"/>
          <w:sz w:val="24"/>
        </w:rPr>
        <w:t>Temps de préparation d’un comité et vitesse de décision managériale.</w:t>
      </w:r>
    </w:p>
    <w:p>
      <w:r>
        <w:br w:type="page"/>
      </w:r>
    </w:p>
    <w:p>
      <w:pPr>
        <w:spacing w:before="0" w:after="80"/>
      </w:pPr>
      <w:r>
        <w:rPr>
          <w:rFonts w:ascii="Aptos" w:hAnsi="Aptos"/>
          <w:b/>
          <w:i w:val="0"/>
          <w:color w:val="EF6C12"/>
          <w:sz w:val="36"/>
        </w:rPr>
        <w:t xml:space="preserve">▌ </w:t>
      </w:r>
      <w:r>
        <w:rPr>
          <w:rFonts w:ascii="Aptos Display" w:hAnsi="Aptos Display"/>
          <w:b/>
          <w:i w:val="0"/>
          <w:color w:val="1C3963"/>
          <w:sz w:val="42"/>
        </w:rPr>
        <w:t>03 - FORMULE PRIORITAIRE RECOMMANDÉE</w:t>
      </w:r>
    </w:p>
    <w:p>
      <w:pPr>
        <w:spacing w:before="120" w:after="80"/>
      </w:pPr>
      <w:r>
        <w:rPr>
          <w:rFonts w:ascii="Aptos Display" w:hAnsi="Aptos Display"/>
          <w:b/>
          <w:i w:val="0"/>
          <w:color w:val="1C3963"/>
          <w:sz w:val="33"/>
        </w:rPr>
        <w:t>Intitulé</w:t>
      </w:r>
    </w:p>
    <w:p>
      <w:pPr>
        <w:spacing w:after="80"/>
      </w:pPr>
      <w:r>
        <w:rPr>
          <w:rFonts w:ascii="Aptos" w:hAnsi="Aptos"/>
          <w:b w:val="0"/>
          <w:i w:val="0"/>
          <w:color w:val="1C3963"/>
          <w:sz w:val="25"/>
        </w:rPr>
        <w:t>Bootcamp IA sectoriel Télécommunications : de l’acculturation utile au premier pilote mesurable.</w:t>
      </w:r>
    </w:p>
    <w:p>
      <w:pPr>
        <w:spacing w:before="120" w:after="80"/>
      </w:pPr>
      <w:r>
        <w:rPr>
          <w:rFonts w:ascii="Aptos Display" w:hAnsi="Aptos Display"/>
          <w:b/>
          <w:i w:val="0"/>
          <w:color w:val="1C3963"/>
          <w:sz w:val="33"/>
        </w:rPr>
        <w:t>Public cible</w:t>
      </w:r>
    </w:p>
    <w:p>
      <w:pPr>
        <w:spacing w:after="80"/>
      </w:pPr>
      <w:r>
        <w:rPr>
          <w:rFonts w:ascii="Aptos" w:hAnsi="Aptos"/>
          <w:b w:val="0"/>
          <w:i w:val="0"/>
          <w:color w:val="1C3963"/>
          <w:sz w:val="25"/>
        </w:rPr>
        <w:t>Direction générale, service client, opérations réseau, marketing, qualité de service, vente B2B/B2C, mobile money et équipes de pilotage.</w:t>
      </w:r>
    </w:p>
    <w:p>
      <w:pPr>
        <w:spacing w:before="120" w:after="80"/>
      </w:pPr>
      <w:r>
        <w:rPr>
          <w:rFonts w:ascii="Aptos Display" w:hAnsi="Aptos Display"/>
          <w:b/>
          <w:i w:val="0"/>
          <w:color w:val="1C3963"/>
          <w:sz w:val="33"/>
        </w:rPr>
        <w:t>Formats possibles</w:t>
      </w:r>
    </w:p>
    <w:p>
      <w:pPr>
        <w:pStyle w:val="ListBullet"/>
        <w:spacing w:after="40"/>
      </w:pPr>
      <w:r>
        <w:rPr>
          <w:rFonts w:ascii="Aptos" w:hAnsi="Aptos"/>
          <w:b w:val="0"/>
          <w:i w:val="0"/>
          <w:color w:val="1C3963"/>
          <w:sz w:val="25"/>
        </w:rPr>
        <w:t>Présentiel</w:t>
      </w:r>
    </w:p>
    <w:p>
      <w:pPr>
        <w:pStyle w:val="ListBullet"/>
        <w:spacing w:after="40"/>
      </w:pPr>
      <w:r>
        <w:rPr>
          <w:rFonts w:ascii="Aptos" w:hAnsi="Aptos"/>
          <w:b w:val="0"/>
          <w:i w:val="0"/>
          <w:color w:val="1C3963"/>
          <w:sz w:val="25"/>
        </w:rPr>
        <w:t>Hybride</w:t>
      </w:r>
    </w:p>
    <w:p>
      <w:pPr>
        <w:pStyle w:val="ListBullet"/>
        <w:spacing w:after="40"/>
      </w:pPr>
      <w:r>
        <w:rPr>
          <w:rFonts w:ascii="Aptos" w:hAnsi="Aptos"/>
          <w:b w:val="0"/>
          <w:i w:val="0"/>
          <w:color w:val="1C3963"/>
          <w:sz w:val="25"/>
        </w:rPr>
        <w:t>En ligne (style webinaire)</w:t>
      </w:r>
    </w:p>
    <w:p>
      <w:pPr>
        <w:spacing w:before="120" w:after="80"/>
      </w:pPr>
      <w:r>
        <w:rPr>
          <w:rFonts w:ascii="Aptos Display" w:hAnsi="Aptos Display"/>
          <w:b/>
          <w:i w:val="0"/>
          <w:color w:val="1C3963"/>
          <w:sz w:val="33"/>
        </w:rPr>
        <w:t>Niveaux</w:t>
      </w:r>
    </w:p>
    <w:p>
      <w:pPr>
        <w:pStyle w:val="ListBullet"/>
        <w:spacing w:after="40"/>
      </w:pPr>
      <w:r>
        <w:rPr>
          <w:rFonts w:ascii="Aptos" w:hAnsi="Aptos"/>
          <w:b w:val="0"/>
          <w:i w:val="0"/>
          <w:color w:val="1C3963"/>
          <w:sz w:val="25"/>
        </w:rPr>
        <w:t>Débutant</w:t>
      </w:r>
    </w:p>
    <w:p>
      <w:pPr>
        <w:pStyle w:val="ListBullet"/>
        <w:spacing w:after="40"/>
      </w:pPr>
      <w:r>
        <w:rPr>
          <w:rFonts w:ascii="Aptos" w:hAnsi="Aptos"/>
          <w:b w:val="0"/>
          <w:i w:val="0"/>
          <w:color w:val="1C3963"/>
          <w:sz w:val="25"/>
        </w:rPr>
        <w:t>Intermédiaire</w:t>
      </w:r>
    </w:p>
    <w:p>
      <w:pPr>
        <w:pStyle w:val="ListBullet"/>
        <w:spacing w:after="40"/>
      </w:pPr>
      <w:r>
        <w:rPr>
          <w:rFonts w:ascii="Aptos" w:hAnsi="Aptos"/>
          <w:b w:val="0"/>
          <w:i w:val="0"/>
          <w:color w:val="1C3963"/>
          <w:sz w:val="25"/>
        </w:rPr>
        <w:t>Avancé</w:t>
      </w:r>
    </w:p>
    <w:p>
      <w:pPr>
        <w:spacing w:before="120" w:after="80"/>
      </w:pPr>
      <w:r>
        <w:rPr>
          <w:rFonts w:ascii="Aptos Display" w:hAnsi="Aptos Display"/>
          <w:b/>
          <w:i w:val="0"/>
          <w:color w:val="1C3963"/>
          <w:sz w:val="33"/>
        </w:rPr>
        <w:t>Durée</w:t>
      </w:r>
    </w:p>
    <w:p>
      <w:pPr>
        <w:pStyle w:val="ListBullet"/>
        <w:spacing w:after="40"/>
      </w:pPr>
      <w:r>
        <w:rPr>
          <w:rFonts w:ascii="Aptos" w:hAnsi="Aptos"/>
          <w:b w:val="0"/>
          <w:i w:val="0"/>
          <w:color w:val="1C3963"/>
          <w:sz w:val="25"/>
        </w:rPr>
        <w:t>1 jour : version décideurs et managers.</w:t>
      </w:r>
    </w:p>
    <w:p>
      <w:pPr>
        <w:pStyle w:val="ListBullet"/>
        <w:spacing w:after="40"/>
      </w:pPr>
      <w:r>
        <w:rPr>
          <w:rFonts w:ascii="Aptos" w:hAnsi="Aptos"/>
          <w:b w:val="0"/>
          <w:i w:val="0"/>
          <w:color w:val="1C3963"/>
          <w:sz w:val="25"/>
        </w:rPr>
        <w:t>2 jours : version équipes, managers et mise en pratique.</w:t>
      </w:r>
    </w:p>
    <w:p>
      <w:pPr>
        <w:spacing w:before="120" w:after="80"/>
      </w:pPr>
      <w:r>
        <w:rPr>
          <w:rFonts w:ascii="Aptos Display" w:hAnsi="Aptos Display"/>
          <w:b/>
          <w:i w:val="0"/>
          <w:color w:val="1C3963"/>
          <w:sz w:val="33"/>
        </w:rPr>
        <w:t>Tarif</w:t>
      </w:r>
    </w:p>
    <w:p>
      <w:pPr>
        <w:spacing w:after="80"/>
      </w:pPr>
      <w:r>
        <w:rPr>
          <w:rFonts w:ascii="Aptos" w:hAnsi="Aptos"/>
          <w:b w:val="0"/>
          <w:i w:val="0"/>
          <w:color w:val="1C3963"/>
          <w:sz w:val="25"/>
        </w:rPr>
        <w:t>Prix sur demande.</w:t>
      </w:r>
    </w:p>
    <w:p>
      <w:pPr>
        <w:spacing w:before="120" w:after="80"/>
      </w:pPr>
      <w:r>
        <w:rPr>
          <w:rFonts w:ascii="Aptos Display" w:hAnsi="Aptos Display"/>
          <w:b/>
          <w:i w:val="0"/>
          <w:color w:val="1C3963"/>
          <w:sz w:val="33"/>
        </w:rPr>
        <w:t>Objectifs pédagogiques</w:t>
      </w:r>
    </w:p>
    <w:p>
      <w:pPr>
        <w:pStyle w:val="ListBullet"/>
        <w:spacing w:after="40"/>
      </w:pPr>
      <w:r>
        <w:rPr>
          <w:rFonts w:ascii="Aptos" w:hAnsi="Aptos"/>
          <w:b w:val="0"/>
          <w:i w:val="0"/>
          <w:color w:val="1C3963"/>
          <w:sz w:val="25"/>
        </w:rPr>
        <w:t>Identifier les priorités métier les plus crédibles à traiter par l’IA dans les télécommunications.</w:t>
      </w:r>
    </w:p>
    <w:p>
      <w:pPr>
        <w:pStyle w:val="ListBullet"/>
        <w:spacing w:after="40"/>
      </w:pPr>
      <w:r>
        <w:rPr>
          <w:rFonts w:ascii="Aptos" w:hAnsi="Aptos"/>
          <w:b w:val="0"/>
          <w:i w:val="0"/>
          <w:color w:val="1C3963"/>
          <w:sz w:val="25"/>
        </w:rPr>
        <w:t>Structurer et piloter les cas d’usage relation client, incidents réseau, signaux de churn et pilotage qualité.</w:t>
      </w:r>
    </w:p>
    <w:p>
      <w:pPr>
        <w:pStyle w:val="ListBullet"/>
        <w:spacing w:after="40"/>
      </w:pPr>
      <w:r>
        <w:rPr>
          <w:rFonts w:ascii="Aptos" w:hAnsi="Aptos"/>
          <w:b w:val="0"/>
          <w:i w:val="0"/>
          <w:color w:val="1C3963"/>
          <w:sz w:val="25"/>
        </w:rPr>
        <w:t>Distinguer les usages immédiatement activables, les usages à encadrer et les usages à piloter dans le temps.</w:t>
      </w:r>
    </w:p>
    <w:p>
      <w:pPr>
        <w:pStyle w:val="ListBullet"/>
        <w:spacing w:after="40"/>
      </w:pPr>
      <w:r>
        <w:rPr>
          <w:rFonts w:ascii="Aptos" w:hAnsi="Aptos"/>
          <w:b w:val="0"/>
          <w:i w:val="0"/>
          <w:color w:val="1C3963"/>
          <w:sz w:val="25"/>
        </w:rPr>
        <w:t>Définir des KPI simples, un cadre de confiance et un premier plan d’action à 90 jours.</w:t>
      </w:r>
    </w:p>
    <w:p>
      <w:r>
        <w:br w:type="page"/>
      </w:r>
    </w:p>
    <w:p>
      <w:pPr>
        <w:spacing w:before="0" w:after="80"/>
      </w:pPr>
      <w:r>
        <w:rPr>
          <w:rFonts w:ascii="Aptos" w:hAnsi="Aptos"/>
          <w:b/>
          <w:i w:val="0"/>
          <w:color w:val="EF6C12"/>
          <w:sz w:val="36"/>
        </w:rPr>
        <w:t xml:space="preserve">▌ </w:t>
      </w:r>
      <w:r>
        <w:rPr>
          <w:rFonts w:ascii="Aptos Display" w:hAnsi="Aptos Display"/>
          <w:b/>
          <w:i w:val="0"/>
          <w:color w:val="1C3963"/>
          <w:sz w:val="42"/>
        </w:rPr>
        <w:t>04 - PROGRAMME PROPOSÉ</w:t>
      </w:r>
    </w:p>
    <w:p>
      <w:pPr>
        <w:spacing w:before="120" w:after="80"/>
      </w:pPr>
      <w:r>
        <w:rPr>
          <w:rFonts w:ascii="Aptos Display" w:hAnsi="Aptos Display"/>
          <w:b/>
          <w:i w:val="0"/>
          <w:color w:val="1C3963"/>
          <w:sz w:val="33"/>
        </w:rPr>
        <w:t>Jour 1</w:t>
      </w:r>
    </w:p>
    <w:p>
      <w:pPr>
        <w:pStyle w:val="ListNumber"/>
        <w:spacing w:after="40"/>
      </w:pPr>
      <w:r>
        <w:rPr>
          <w:rFonts w:ascii="Aptos" w:hAnsi="Aptos"/>
          <w:b w:val="0"/>
          <w:i w:val="0"/>
          <w:color w:val="1C3963"/>
          <w:sz w:val="24"/>
        </w:rPr>
        <w:t>Lecture des enjeux Orange Côte d’Ivoire et cartographie des irritants prioritaires.</w:t>
      </w:r>
    </w:p>
    <w:p>
      <w:pPr>
        <w:pStyle w:val="ListNumber"/>
        <w:spacing w:after="40"/>
      </w:pPr>
      <w:r>
        <w:rPr>
          <w:rFonts w:ascii="Aptos" w:hAnsi="Aptos"/>
          <w:b w:val="0"/>
          <w:i w:val="0"/>
          <w:color w:val="1C3963"/>
          <w:sz w:val="24"/>
        </w:rPr>
        <w:t>Études de cas guidées sur le centre de contact augmenté et la synthèse d’incidents réseau.</w:t>
      </w:r>
    </w:p>
    <w:p>
      <w:pPr>
        <w:pStyle w:val="ListNumber"/>
        <w:spacing w:after="40"/>
      </w:pPr>
      <w:r>
        <w:rPr>
          <w:rFonts w:ascii="Aptos" w:hAnsi="Aptos"/>
          <w:b w:val="0"/>
          <w:i w:val="0"/>
          <w:color w:val="1C3963"/>
          <w:sz w:val="24"/>
        </w:rPr>
        <w:t>Méthodes, prompts, routines et gestes métier autour de la relation client augmentée par l’IA.</w:t>
      </w:r>
    </w:p>
    <w:p>
      <w:pPr>
        <w:pStyle w:val="ListNumber"/>
        <w:spacing w:after="40"/>
      </w:pPr>
      <w:r>
        <w:rPr>
          <w:rFonts w:ascii="Aptos" w:hAnsi="Aptos"/>
          <w:b w:val="0"/>
          <w:i w:val="0"/>
          <w:color w:val="1C3963"/>
          <w:sz w:val="24"/>
        </w:rPr>
        <w:t>Cadre de confiance : confidentialité, supervision humaine, validation managériale et critères d’extension.</w:t>
      </w:r>
    </w:p>
    <w:p>
      <w:pPr>
        <w:spacing w:before="120" w:after="80"/>
      </w:pPr>
      <w:r>
        <w:rPr>
          <w:rFonts w:ascii="Aptos Display" w:hAnsi="Aptos Display"/>
          <w:b/>
          <w:i w:val="0"/>
          <w:color w:val="1C3963"/>
          <w:sz w:val="33"/>
        </w:rPr>
        <w:t>Jour 2</w:t>
      </w:r>
    </w:p>
    <w:p>
      <w:pPr>
        <w:pStyle w:val="ListNumber"/>
        <w:spacing w:after="40"/>
      </w:pPr>
      <w:r>
        <w:rPr>
          <w:rFonts w:ascii="Aptos" w:hAnsi="Aptos"/>
          <w:b w:val="0"/>
          <w:i w:val="0"/>
          <w:color w:val="1C3963"/>
          <w:sz w:val="24"/>
        </w:rPr>
        <w:t>Ateliers de conception sur les verbatims clients, les signaux de churn et le pilotage qualité de service.</w:t>
      </w:r>
    </w:p>
    <w:p>
      <w:pPr>
        <w:pStyle w:val="ListNumber"/>
        <w:spacing w:after="40"/>
      </w:pPr>
      <w:r>
        <w:rPr>
          <w:rFonts w:ascii="Aptos" w:hAnsi="Aptos"/>
          <w:b w:val="0"/>
          <w:i w:val="0"/>
          <w:color w:val="1C3963"/>
          <w:sz w:val="24"/>
        </w:rPr>
        <w:t>Construction d’un premier canevas de pilote, des KPI de suivi et des livrables attendus.</w:t>
      </w:r>
    </w:p>
    <w:p>
      <w:pPr>
        <w:pStyle w:val="ListNumber"/>
        <w:spacing w:after="40"/>
      </w:pPr>
      <w:r>
        <w:rPr>
          <w:rFonts w:ascii="Aptos" w:hAnsi="Aptos"/>
          <w:b w:val="0"/>
          <w:i w:val="0"/>
          <w:color w:val="1C3963"/>
          <w:sz w:val="24"/>
        </w:rPr>
        <w:t>Approfondissements recommandés : pilotage réseau et qualité de service, marketing télécom, leadership data-driven.</w:t>
      </w:r>
    </w:p>
    <w:p>
      <w:pPr>
        <w:pStyle w:val="ListNumber"/>
        <w:spacing w:after="40"/>
      </w:pPr>
      <w:r>
        <w:rPr>
          <w:rFonts w:ascii="Aptos" w:hAnsi="Aptos"/>
          <w:b w:val="0"/>
          <w:i w:val="0"/>
          <w:color w:val="1C3963"/>
          <w:sz w:val="24"/>
        </w:rPr>
        <w:t>Plan d’action à 90 jours : gouvernance, équipes à former, décision d’extension ou de recentrage.</w:t>
      </w:r>
    </w:p>
    <w:p>
      <w:pPr>
        <w:spacing w:before="160" w:after="80"/>
      </w:pPr>
      <w:r>
        <w:rPr>
          <w:rFonts w:ascii="Aptos" w:hAnsi="Aptos"/>
          <w:b/>
          <w:i w:val="0"/>
          <w:color w:val="EF6C12"/>
          <w:sz w:val="36"/>
        </w:rPr>
        <w:t xml:space="preserve">▌ </w:t>
      </w:r>
      <w:r>
        <w:rPr>
          <w:rFonts w:ascii="Aptos Display" w:hAnsi="Aptos Display"/>
          <w:b/>
          <w:i w:val="0"/>
          <w:color w:val="1C3963"/>
          <w:sz w:val="42"/>
        </w:rPr>
        <w:t>05 - LIVRABLES ATTENDUS</w:t>
      </w:r>
    </w:p>
    <w:p>
      <w:pPr>
        <w:pStyle w:val="ListBullet"/>
        <w:spacing w:after="40"/>
      </w:pPr>
      <w:r>
        <w:rPr>
          <w:rFonts w:ascii="Aptos" w:hAnsi="Aptos"/>
          <w:b w:val="0"/>
          <w:i w:val="0"/>
          <w:color w:val="1C3963"/>
          <w:sz w:val="25"/>
        </w:rPr>
        <w:t>Une note de cadrage sectorielle télécommunications avec priorités confirmées, risques et premières décisions.</w:t>
      </w:r>
    </w:p>
    <w:p>
      <w:pPr>
        <w:pStyle w:val="ListBullet"/>
        <w:spacing w:after="40"/>
      </w:pPr>
      <w:r>
        <w:rPr>
          <w:rFonts w:ascii="Aptos" w:hAnsi="Aptos"/>
          <w:b w:val="0"/>
          <w:i w:val="0"/>
          <w:color w:val="1C3963"/>
          <w:sz w:val="25"/>
        </w:rPr>
        <w:t>Une matrice des cas d’usage prioritaires adaptée au contexte Orange Côte d’Ivoire.</w:t>
      </w:r>
    </w:p>
    <w:p>
      <w:pPr>
        <w:pStyle w:val="ListBullet"/>
        <w:spacing w:after="40"/>
      </w:pPr>
      <w:r>
        <w:rPr>
          <w:rFonts w:ascii="Aptos" w:hAnsi="Aptos"/>
          <w:b w:val="0"/>
          <w:i w:val="0"/>
          <w:color w:val="1C3963"/>
          <w:sz w:val="25"/>
        </w:rPr>
        <w:t>Un canevas de pilote à 90 jours avec KPI, rôles, supervision et critères de succès.</w:t>
      </w:r>
    </w:p>
    <w:p>
      <w:pPr>
        <w:pStyle w:val="ListBullet"/>
        <w:spacing w:after="40"/>
      </w:pPr>
      <w:r>
        <w:rPr>
          <w:rFonts w:ascii="Aptos" w:hAnsi="Aptos"/>
          <w:b w:val="0"/>
          <w:i w:val="0"/>
          <w:color w:val="1C3963"/>
          <w:sz w:val="25"/>
        </w:rPr>
        <w:t>Une recommandation de parcours de montée en compétences pour les décideurs et les équipes ciblées.</w:t>
      </w:r>
    </w:p>
    <w:p>
      <w:pPr>
        <w:spacing w:before="160" w:after="80"/>
      </w:pPr>
      <w:r>
        <w:rPr>
          <w:rFonts w:ascii="Aptos" w:hAnsi="Aptos"/>
          <w:b/>
          <w:i w:val="0"/>
          <w:color w:val="EF6C12"/>
          <w:sz w:val="36"/>
        </w:rPr>
        <w:t xml:space="preserve">▌ </w:t>
      </w:r>
      <w:r>
        <w:rPr>
          <w:rFonts w:ascii="Aptos Display" w:hAnsi="Aptos Display"/>
          <w:b/>
          <w:i w:val="0"/>
          <w:color w:val="1C3963"/>
          <w:sz w:val="42"/>
        </w:rPr>
        <w:t>06 - CONTACT ET PROCHAINE ÉTAPE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866"/>
      </w:tblGrid>
      <w:tr>
        <w:tc>
          <w:tcPr>
            <w:tcW w:type="dxa" w:w="9354"/>
            <w:vAlign w:val="center"/>
            <w:shd w:fill="F8F3EC"/>
            <w:tcBorders>
              <w:top w:val="single" w:sz="8" w:color="F1A56E"/>
              <w:left w:val="single" w:sz="8" w:color="F1A56E"/>
              <w:bottom w:val="single" w:sz="8" w:color="F1A56E"/>
              <w:right w:val="single" w:sz="8" w:color="F1A56E"/>
            </w:tcBorders>
          </w:tcPr>
          <w:p>
            <w:pPr>
              <w:spacing w:after="60"/>
            </w:pPr>
            <w:r>
              <w:rPr>
                <w:rFonts w:ascii="Aptos Display" w:hAnsi="Aptos Display"/>
                <w:b/>
                <w:i w:val="0"/>
                <w:color w:val="1C3963"/>
                <w:sz w:val="32"/>
              </w:rPr>
              <w:t>Appel à l’action</w:t>
            </w:r>
          </w:p>
          <w:p>
            <w:pPr>
              <w:spacing w:after="0"/>
            </w:pPr>
            <w:r>
              <w:rPr>
                <w:rFonts w:ascii="Aptos" w:hAnsi="Aptos"/>
                <w:b w:val="0"/>
                <w:i w:val="0"/>
                <w:color w:val="1C3963"/>
                <w:sz w:val="25"/>
              </w:rPr>
              <w:t>Planifier un audit IA gratuit suivi d’un échange expert de 45 minutes pour confirmer les deux premiers cas d’usage, les populations à former et le cadre de déploiement pertinent pour Orange Côte d’Ivoire.</w:t>
            </w:r>
          </w:p>
        </w:tc>
      </w:tr>
    </w:tbl>
    <w:sectPr w:rsidR="00FC693F" w:rsidRPr="0006063C" w:rsidSect="00034616">
      <w:footerReference w:type="default" r:id="rId9"/>
      <w:pgSz w:w="11906" w:h="16838"/>
      <w:pgMar w:top="113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7C93"/>
        <w:sz w:val="18"/>
      </w:rPr>
      <w:t>TransferAI Africa | NettelecomCI | contact@transferai.ci | www.transferai.ci | +225 07 16 57 39 90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