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0"/>
        <w:jc w:val="center"/>
        <w:pBdr>
          <w:bottom w:val="single" w:sz="8" w:space="1" w:color="D9E2F2"/>
        </w:pBdr>
      </w:pPr>
      <w:r>
        <w:t>TransferAI - Mini catalogue premium Administration &amp; Gestion</w:t>
      </w:r>
    </w:p>
    <w:p>
      <w:pPr>
        <w:pStyle w:val="Subtitle"/>
        <w:spacing w:after="280"/>
        <w:jc w:val="center"/>
      </w:pPr>
      <w:r>
        <w:t>Catalogue ciblé par secteur | Formule prioritaire sur mesure | Édition du 2026-06-12 · Ce document est conçu pour des prospects de même univers métier. Il peut être adapté à une organisation précise après audit IA gratuit et échange expert de qualification.</w:t>
      </w:r>
    </w:p>
    <w:p>
      <w:pPr>
        <w:pStyle w:val="Heading1"/>
        <w:spacing w:before="200" w:after="60"/>
      </w:pPr>
      <w:r>
        <w:t>Fiche sectorielle 08 / 16</w:t>
      </w:r>
    </w:p>
    <w:p>
      <w:pPr>
        <w:pStyle w:val="Heading2"/>
        <w:spacing w:before="120" w:after="60"/>
      </w:pPr>
      <w:r>
        <w:t>Domaine de référence</w:t>
      </w:r>
    </w:p>
    <w:p>
      <w:pPr>
        <w:pStyle w:val="ListBullet"/>
        <w:spacing w:after="40"/>
      </w:pPr>
      <w:r>
        <w:t>Administration &amp; Gestion | Contextes proches : Administration publique ; Administration / Numérique ; Industrie alimentaire ; Audit / Conseil ; Distribution automobile</w:t>
      </w:r>
    </w:p>
    <w:p>
      <w:pPr>
        <w:pStyle w:val="Heading2"/>
        <w:spacing w:before="120" w:after="60"/>
      </w:pPr>
      <w:r>
        <w:t>Enjeux sectoriels</w:t>
      </w:r>
    </w:p>
    <w:p>
      <w:pPr>
        <w:pStyle w:val="ListBullet"/>
        <w:spacing w:after="40"/>
      </w:pPr>
      <w:r>
        <w:t>La valeur ici se voit quand les processus administratifs deviennent plus rapides, plus lisibles et moins dépendants de manipulations manuelles ou de chaînes d’e-mails.</w:t>
      </w:r>
    </w:p>
    <w:p>
      <w:pPr>
        <w:pStyle w:val="ListBullet"/>
        <w:spacing w:after="40"/>
      </w:pPr>
      <w:r>
        <w:t>Tâches répétitives omniprésentes : Courriers, validations, suivis, tableaux et consolidations créent des goulots d’étranglement quotidiens. Les workflows critiques gagnent en fluidité, en cadence et en qualité documentaire.</w:t>
      </w:r>
    </w:p>
    <w:p>
      <w:pPr>
        <w:pStyle w:val="ListBullet"/>
        <w:spacing w:after="40"/>
      </w:pPr>
      <w:r>
        <w:t>Achats et approvisionnements peu lisibles : Les relances, priorités et points de blocage sont difficilement visibles à temps. Les équipes disposent de suivis mieux structurés et de rappels plus cohérents.</w:t>
      </w:r>
    </w:p>
    <w:p>
      <w:pPr>
        <w:pStyle w:val="ListBullet"/>
        <w:spacing w:after="40"/>
      </w:pPr>
      <w:r>
        <w:t>Documents mal classés : Les pièces utiles se cherchent longtemps et les versions circulent sans repère stable. La gestion documentaire devient plus simple, mieux rangée et plus exploitable.</w:t>
      </w:r>
    </w:p>
    <w:p>
      <w:pPr>
        <w:pStyle w:val="ListBullet"/>
        <w:spacing w:after="40"/>
      </w:pPr>
      <w:r>
        <w:t>Pilotage administratif fragile : Les managers disposent de peu de lecture rapide sur les délais, suspens et points de friction. Les indicateurs administratifs gagnent en visibilité et servent davantage à arbitrer.</w:t>
      </w:r>
    </w:p>
    <w:p>
      <w:pPr>
        <w:pStyle w:val="Heading2"/>
        <w:spacing w:before="120" w:after="60"/>
      </w:pPr>
      <w:r>
        <w:t>Contexte secteur à confirmer</w:t>
      </w:r>
    </w:p>
    <w:p>
      <w:pPr>
        <w:pStyle w:val="ListBullet"/>
        <w:spacing w:after="40"/>
      </w:pPr>
      <w:r>
        <w:t>Exemples de contextes proches : Administration publique ; Administration / Numérique ; Industrie alimentaire ; Audit / Conseil ; Distribution automobile.</w:t>
      </w:r>
    </w:p>
    <w:p>
      <w:pPr>
        <w:pStyle w:val="ListBullet"/>
        <w:spacing w:after="40"/>
      </w:pPr>
      <w:r>
        <w:t>Les enjeux confirmés au cadrage doivent être reliés à des priorités visibles pour l’administration et la gestion.</w:t>
      </w:r>
    </w:p>
    <w:p>
      <w:pPr>
        <w:pStyle w:val="ListBullet"/>
        <w:spacing w:after="40"/>
      </w:pPr>
      <w:r>
        <w:t>Le périmètre à confirmer peut concerner un site pilote, une direction donnée, une équipe support ou un processus transverse.</w:t>
      </w:r>
    </w:p>
    <w:p>
      <w:pPr>
        <w:pStyle w:val="ListBullet"/>
        <w:spacing w:after="40"/>
      </w:pPr>
      <w:r>
        <w:t>Les cas d’usage retenus doivent être validés selon les données disponibles, les règles de confidentialité et la capacité de supervision humaine.</w:t>
      </w:r>
    </w:p>
    <w:p>
      <w:pPr>
        <w:pStyle w:val="Heading2"/>
        <w:spacing w:before="120" w:after="60"/>
      </w:pPr>
      <w:r>
        <w:t>Cas d’usage TransferAI mis en avant</w:t>
      </w:r>
    </w:p>
    <w:p>
      <w:pPr>
        <w:pStyle w:val="ListBullet"/>
        <w:spacing w:after="40"/>
      </w:pPr>
      <w:r>
        <w:rPr>
          <w:b/>
        </w:rPr>
        <w:t>Automatisation administrative ciblée</w:t>
      </w:r>
      <w:r>
        <w:t xml:space="preserve"> : Les séquences documentaires et de suivi gagnent en vitesse et en cohérence. KPI de référence : Temps de cycle ; nombre d’étapes manuelles éliminées.</w:t>
      </w:r>
    </w:p>
    <w:p>
      <w:pPr>
        <w:pStyle w:val="ListBullet"/>
        <w:spacing w:after="40"/>
      </w:pPr>
      <w:r>
        <w:rPr>
          <w:b/>
        </w:rPr>
        <w:t>Gestion documentaire intelligente</w:t>
      </w:r>
      <w:r>
        <w:t xml:space="preserve"> : Les documents sont mieux rangés, plus faciles à retrouver et plus simples à exploiter. KPI de référence : Temps de recherche ; qualité de classement.</w:t>
      </w:r>
    </w:p>
    <w:p>
      <w:pPr>
        <w:pStyle w:val="ListBullet"/>
        <w:spacing w:after="40"/>
      </w:pPr>
      <w:r>
        <w:rPr>
          <w:b/>
        </w:rPr>
        <w:t>Achats, stocks et approvisionnements</w:t>
      </w:r>
      <w:r>
        <w:t xml:space="preserve"> : Les équipes lisent mieux les priorités, relances et besoins critiques. KPI de référence : Temps de traitement ; nombre de ruptures ou retards détectés tôt.</w:t>
      </w:r>
    </w:p>
    <w:p>
      <w:pPr>
        <w:pStyle w:val="ListBullet"/>
        <w:spacing w:after="40"/>
      </w:pPr>
      <w:r>
        <w:rPr>
          <w:b/>
        </w:rPr>
        <w:t>Tableaux de bord administratifs</w:t>
      </w:r>
      <w:r>
        <w:t xml:space="preserve"> : Les KPI administratifs sont mieux commentés et plus actionnables. KPI de référence : Temps de reporting ; réactivité de pilotage.</w:t>
      </w:r>
    </w:p>
    <w:p>
      <w:pPr>
        <w:pStyle w:val="Heading1"/>
        <w:spacing w:before="200" w:after="60"/>
      </w:pPr>
      <w:r>
        <w:t>Formule prioritaire recommandée</w:t>
      </w:r>
    </w:p>
    <w:p>
      <w:pPr>
        <w:pStyle w:val="Heading2"/>
        <w:spacing w:before="120" w:after="60"/>
      </w:pPr>
      <w:r>
        <w:t>Intitulé</w:t>
      </w:r>
    </w:p>
    <w:p>
      <w:pPr>
        <w:pStyle w:val="ListBullet"/>
        <w:spacing w:after="40"/>
      </w:pPr>
      <w:r>
        <w:t>Bootcamp IA sectoriel Administration &amp; Gestion : de l’acculturation utile au premier pilote mesurable</w:t>
      </w:r>
    </w:p>
    <w:p>
      <w:pPr>
        <w:pStyle w:val="Heading2"/>
        <w:spacing w:before="120" w:after="60"/>
      </w:pPr>
      <w:r>
        <w:t>Public cible</w:t>
      </w:r>
    </w:p>
    <w:p>
      <w:pPr>
        <w:pStyle w:val="ListBullet"/>
        <w:spacing w:after="40"/>
      </w:pPr>
      <w:r>
        <w:t>Directions administratives, opérations support, back office, coordination multi-sites</w:t>
      </w:r>
    </w:p>
    <w:p>
      <w:pPr>
        <w:pStyle w:val="Heading2"/>
        <w:spacing w:before="120" w:after="60"/>
      </w:pPr>
      <w:r>
        <w:t>Formats possibles</w:t>
      </w:r>
    </w:p>
    <w:p>
      <w:pPr>
        <w:pStyle w:val="ListBullet"/>
        <w:spacing w:after="40"/>
      </w:pPr>
      <w:r>
        <w:t>Présentiel</w:t>
      </w:r>
    </w:p>
    <w:p>
      <w:pPr>
        <w:pStyle w:val="ListBullet"/>
        <w:spacing w:after="40"/>
      </w:pPr>
      <w:r>
        <w:t>Hybride</w:t>
      </w:r>
    </w:p>
    <w:p>
      <w:pPr>
        <w:pStyle w:val="ListBullet"/>
        <w:spacing w:after="40"/>
      </w:pPr>
      <w:r>
        <w:t>En ligne (style webinaire)</w:t>
      </w:r>
    </w:p>
    <w:p>
      <w:pPr>
        <w:pStyle w:val="Heading2"/>
        <w:spacing w:before="120" w:after="60"/>
      </w:pPr>
      <w:r>
        <w:t>Niveaux</w:t>
      </w:r>
    </w:p>
    <w:p>
      <w:pPr>
        <w:pStyle w:val="ListBullet"/>
        <w:spacing w:after="40"/>
      </w:pPr>
      <w:r>
        <w:t>Débutant</w:t>
      </w:r>
    </w:p>
    <w:p>
      <w:pPr>
        <w:pStyle w:val="ListBullet"/>
        <w:spacing w:after="40"/>
      </w:pPr>
      <w:r>
        <w:t>Intermédiaire</w:t>
      </w:r>
    </w:p>
    <w:p>
      <w:pPr>
        <w:pStyle w:val="ListBullet"/>
        <w:spacing w:after="40"/>
      </w:pPr>
      <w:r>
        <w:t>Avancé</w:t>
      </w:r>
    </w:p>
    <w:p>
      <w:pPr>
        <w:pStyle w:val="Heading2"/>
        <w:spacing w:before="120" w:after="60"/>
      </w:pPr>
      <w:r>
        <w:t>Durée</w:t>
      </w:r>
    </w:p>
    <w:p>
      <w:pPr>
        <w:pStyle w:val="ListBullet"/>
        <w:spacing w:after="40"/>
      </w:pPr>
      <w:r>
        <w:t>1 jour : version décideurs et managers</w:t>
      </w:r>
    </w:p>
    <w:p>
      <w:pPr>
        <w:pStyle w:val="ListBullet"/>
        <w:spacing w:after="40"/>
      </w:pPr>
      <w:r>
        <w:t>2 jours : version équipes, managers et mise en pratique</w:t>
      </w:r>
    </w:p>
    <w:p>
      <w:pPr>
        <w:pStyle w:val="Heading2"/>
        <w:spacing w:before="120" w:after="60"/>
      </w:pPr>
      <w:r>
        <w:t>Tarif</w:t>
      </w:r>
    </w:p>
    <w:p>
      <w:pPr>
        <w:pStyle w:val="ListBullet"/>
        <w:spacing w:after="40"/>
      </w:pPr>
      <w:r>
        <w:t>Prix sur demande</w:t>
      </w:r>
    </w:p>
    <w:p>
      <w:pPr>
        <w:pStyle w:val="Heading2"/>
        <w:spacing w:before="120" w:after="60"/>
      </w:pPr>
      <w:r>
        <w:t>Résultats attendus</w:t>
      </w:r>
    </w:p>
    <w:p>
      <w:pPr>
        <w:pStyle w:val="ListBullet"/>
        <w:spacing w:after="40"/>
      </w:pPr>
      <w:r>
        <w:t>25 à 45 % sur le temps administratif (saisie, suivi, relance, synthèse).</w:t>
      </w:r>
    </w:p>
    <w:p>
      <w:pPr>
        <w:pStyle w:val="ListBullet"/>
        <w:spacing w:after="40"/>
      </w:pPr>
      <w:r>
        <w:t>Plus de traçabilité sur les processus (validation, dossier, archivage).</w:t>
      </w:r>
    </w:p>
    <w:p>
      <w:pPr>
        <w:pStyle w:val="ListBullet"/>
        <w:spacing w:after="40"/>
      </w:pPr>
      <w:r>
        <w:t>Meilleure coordination entre équipes (achats, opérations, administration).</w:t>
      </w:r>
    </w:p>
    <w:p>
      <w:pPr>
        <w:pStyle w:val="ListBullet"/>
        <w:spacing w:after="40"/>
      </w:pPr>
      <w:r>
        <w:t>Lecture plus claire pour les managers (délais, suspens, points critiques).</w:t>
      </w:r>
    </w:p>
    <w:p>
      <w:pPr>
        <w:pStyle w:val="ListBullet"/>
        <w:spacing w:after="40"/>
      </w:pPr>
      <w:r>
        <w:t>Une feuille de route claire sur les deux premiers cas d’usage à lancer dans l’administration et la gestion.</w:t>
      </w:r>
    </w:p>
    <w:p>
      <w:pPr>
        <w:pStyle w:val="ListBullet"/>
        <w:spacing w:after="40"/>
      </w:pPr>
      <w:r>
        <w:t>Une meilleure capacité à relier formation, gouvernance, pilote et retour sur investissement visible.</w:t>
      </w:r>
    </w:p>
    <w:p>
      <w:pPr>
        <w:pStyle w:val="Heading2"/>
        <w:spacing w:before="120" w:after="60"/>
      </w:pPr>
      <w:r>
        <w:t>Objectifs pédagogiques</w:t>
      </w:r>
    </w:p>
    <w:p>
      <w:pPr>
        <w:pStyle w:val="ListBullet"/>
        <w:spacing w:after="40"/>
      </w:pPr>
      <w:r>
        <w:t>Identifier les priorités métier les plus crédibles à traiter par l’IA dans l’administration et la gestion.</w:t>
      </w:r>
    </w:p>
    <w:p>
      <w:pPr>
        <w:pStyle w:val="ListBullet"/>
        <w:spacing w:after="40"/>
      </w:pPr>
      <w:r>
        <w:t>Savoir structurer et piloter le cas d’usage « Automatisation administrative ciblée ».</w:t>
      </w:r>
    </w:p>
    <w:p>
      <w:pPr>
        <w:pStyle w:val="ListBullet"/>
        <w:spacing w:after="40"/>
      </w:pPr>
      <w:r>
        <w:t>Savoir structurer et piloter le cas d’usage « Gestion documentaire intelligente ».</w:t>
      </w:r>
    </w:p>
    <w:p>
      <w:pPr>
        <w:pStyle w:val="ListBullet"/>
        <w:spacing w:after="40"/>
      </w:pPr>
      <w:r>
        <w:t>Savoir structurer et piloter le cas d’usage « Achats, stocks et approvisionnements ».</w:t>
      </w:r>
    </w:p>
    <w:p>
      <w:pPr>
        <w:pStyle w:val="ListBullet"/>
        <w:spacing w:after="40"/>
      </w:pPr>
      <w:r>
        <w:t>Distinguer les usages immédiatement activables, les usages à encadrer et les usages à piloter dans le temps.</w:t>
      </w:r>
    </w:p>
    <w:p>
      <w:pPr>
        <w:pStyle w:val="ListBullet"/>
        <w:spacing w:after="40"/>
      </w:pPr>
      <w:r>
        <w:t>Définir des KPI simples, un cadre de confiance et un premier plan d’action à 90 jours.</w:t>
      </w:r>
    </w:p>
    <w:p>
      <w:pPr>
        <w:pStyle w:val="Heading2"/>
        <w:spacing w:before="120" w:after="60"/>
      </w:pPr>
      <w:r>
        <w:t>Programme</w:t>
      </w:r>
    </w:p>
    <w:p>
      <w:pPr>
        <w:pStyle w:val="Heading3"/>
        <w:spacing w:before="120" w:after="60"/>
      </w:pPr>
      <w:r>
        <w:t>Jour 1</w:t>
      </w:r>
    </w:p>
    <w:p>
      <w:pPr>
        <w:pStyle w:val="ListBullet"/>
        <w:spacing w:after="40"/>
      </w:pPr>
      <w:r>
        <w:t>Lecture des enjeux sectoriels : La valeur ici se voit quand les processus administratifs deviennent plus rapides, plus lisibles et moins dépendants de manipulations manuelles ou de chaînes d’e-mails.</w:t>
      </w:r>
    </w:p>
    <w:p>
      <w:pPr>
        <w:pStyle w:val="ListBullet"/>
        <w:spacing w:after="40"/>
      </w:pPr>
      <w:r>
        <w:t>Cartographie des priorités métier confirmées : Tâches répétitives omniprésentes ; Achats et approvisionnements peu lisibles ; Documents mal classés.</w:t>
      </w:r>
    </w:p>
    <w:p>
      <w:pPr>
        <w:pStyle w:val="ListBullet"/>
        <w:spacing w:after="40"/>
      </w:pPr>
      <w:r>
        <w:t>Études de cas guidées autour de « Automatisation administrative ciblée » et « Gestion documentaire intelligente ».</w:t>
      </w:r>
    </w:p>
    <w:p>
      <w:pPr>
        <w:pStyle w:val="ListBullet"/>
        <w:spacing w:after="40"/>
      </w:pPr>
      <w:r>
        <w:t>Méthodes, outils et gestes professionnels à partir des ancrages pédagogiques suivants : Automatisation Administrative avec l’IA ; Gestion Documentaire Intelligente ; Planification et Suivi des Indicateurs avec l’IA.</w:t>
      </w:r>
    </w:p>
    <w:p>
      <w:pPr>
        <w:pStyle w:val="ListBullet"/>
        <w:spacing w:after="40"/>
      </w:pPr>
      <w:r>
        <w:t>Cadre de confiance : confidentialité, supervision humaine, validation managériale et critères d’extension.</w:t>
      </w:r>
    </w:p>
    <w:p>
      <w:pPr>
        <w:pStyle w:val="Heading3"/>
        <w:spacing w:before="120" w:after="60"/>
      </w:pPr>
      <w:r>
        <w:t>Jour 2</w:t>
      </w:r>
    </w:p>
    <w:p>
      <w:pPr>
        <w:pStyle w:val="ListBullet"/>
        <w:spacing w:after="40"/>
      </w:pPr>
      <w:r>
        <w:t>Cette journée s’active lorsque la formule 2 jours est retenue.</w:t>
      </w:r>
    </w:p>
    <w:p>
      <w:pPr>
        <w:pStyle w:val="ListBullet"/>
        <w:spacing w:after="40"/>
      </w:pPr>
      <w:r>
        <w:t>Ateliers de conception sur « Achats, stocks et approvisionnements » et « Tableaux de bord administratifs ».</w:t>
      </w:r>
    </w:p>
    <w:p>
      <w:pPr>
        <w:pStyle w:val="ListBullet"/>
        <w:spacing w:after="40"/>
      </w:pPr>
      <w:r>
        <w:t>Construction de prompts, trames, routines et scénarios d’usage adaptés au terrain.</w:t>
      </w:r>
    </w:p>
    <w:p>
      <w:pPr>
        <w:pStyle w:val="ListBullet"/>
        <w:spacing w:after="40"/>
      </w:pPr>
      <w:r>
        <w:t>Approfondissements recommandés : Gestion des Achats et Approvisionnement IA ; Optimisation des Processus Métier avec l’IA ; Tableaux de Bord Administratifs avec l’IA.</w:t>
      </w:r>
    </w:p>
    <w:p>
      <w:pPr>
        <w:pStyle w:val="ListBullet"/>
        <w:spacing w:after="40"/>
      </w:pPr>
      <w:r>
        <w:t>Définition du premier pilote, des livrables attendus et des KPI de suivi.</w:t>
      </w:r>
    </w:p>
    <w:p>
      <w:pPr>
        <w:pStyle w:val="ListBullet"/>
        <w:spacing w:after="40"/>
      </w:pPr>
      <w:r>
        <w:t>Plan d’action à 90 jours : séquencement, populations à former, gouvernance et arbitrages de déploiement.</w:t>
      </w:r>
    </w:p>
    <w:p>
      <w:pPr>
        <w:pStyle w:val="Heading2"/>
        <w:spacing w:before="120" w:after="60"/>
      </w:pPr>
      <w:r>
        <w:t>Livrables / attendus</w:t>
      </w:r>
    </w:p>
    <w:p>
      <w:pPr>
        <w:pStyle w:val="ListBullet"/>
        <w:spacing w:after="40"/>
      </w:pPr>
      <w:r>
        <w:t>Une note de cadrage sectorielle pour l’administration et la gestion avec priorités confirmées, risques et premières décisions.</w:t>
      </w:r>
    </w:p>
    <w:p>
      <w:pPr>
        <w:pStyle w:val="ListBullet"/>
        <w:spacing w:after="40"/>
      </w:pPr>
      <w:r>
        <w:t>Une matrice des cas d’usage prioritaires incluant « Automatisation administrative ciblée » ; « Gestion documentaire intelligente » ; « Achats, stocks et approvisionnements » ; « Tableaux de bord administratifs ».</w:t>
      </w:r>
    </w:p>
    <w:p>
      <w:pPr>
        <w:pStyle w:val="ListBullet"/>
        <w:spacing w:after="40"/>
      </w:pPr>
      <w:r>
        <w:t>Un canevas de pilote à 90 jours avec KPI, rôles, supervision et critères de succès.</w:t>
      </w:r>
    </w:p>
    <w:p>
      <w:pPr>
        <w:pStyle w:val="ListBullet"/>
        <w:spacing w:after="40"/>
      </w:pPr>
      <w:r>
        <w:t>Une recommandation de parcours de montée en compétences à partir de : Automatisation Administrative avec l’IA ; Gestion Documentaire Intelligente ; Planification et Suivi des Indicateurs avec l’IA ; Gestion des Achats et Approvisionnement IA.</w:t>
      </w:r>
    </w:p>
    <w:p>
      <w:pPr>
        <w:pStyle w:val="Heading2"/>
        <w:spacing w:before="120" w:after="60"/>
      </w:pPr>
      <w:r>
        <w:t>Ancrages pédagogiques recommandés</w:t>
      </w:r>
    </w:p>
    <w:p>
      <w:pPr>
        <w:pStyle w:val="ListBullet"/>
        <w:spacing w:after="40"/>
      </w:pPr>
      <w:r>
        <w:t>Automatisation Administrative avec l’IA</w:t>
      </w:r>
    </w:p>
    <w:p>
      <w:pPr>
        <w:pStyle w:val="ListBullet"/>
        <w:spacing w:after="40"/>
      </w:pPr>
      <w:r>
        <w:t>Gestion Documentaire Intelligente</w:t>
      </w:r>
    </w:p>
    <w:p>
      <w:pPr>
        <w:pStyle w:val="ListBullet"/>
        <w:spacing w:after="40"/>
      </w:pPr>
      <w:r>
        <w:t>Planification et Suivi des Indicateurs avec l’IA</w:t>
      </w:r>
    </w:p>
    <w:p>
      <w:pPr>
        <w:pStyle w:val="ListBullet"/>
        <w:spacing w:after="40"/>
      </w:pPr>
      <w:r>
        <w:t>Gestion des Achats et Approvisionnement IA</w:t>
      </w:r>
    </w:p>
    <w:p>
      <w:pPr>
        <w:pStyle w:val="ListBullet"/>
        <w:spacing w:after="40"/>
      </w:pPr>
      <w:r>
        <w:t>Optimisation des Processus Métier avec l’IA</w:t>
      </w:r>
    </w:p>
    <w:p>
      <w:pPr>
        <w:pStyle w:val="ListBullet"/>
        <w:spacing w:after="40"/>
      </w:pPr>
      <w:r>
        <w:t>Tableaux de Bord Administratifs avec l’IA</w:t>
      </w:r>
    </w:p>
    <w:p>
      <w:pPr>
        <w:pStyle w:val="Heading2"/>
        <w:spacing w:before="120" w:after="60"/>
      </w:pPr>
      <w:r>
        <w:t>Mention de personnalisation</w:t>
      </w:r>
    </w:p>
    <w:p>
      <w:pPr>
        <w:pStyle w:val="ListBullet"/>
        <w:spacing w:after="40"/>
      </w:pPr>
      <w:r>
        <w:t>Le contenu final est ajusté après qualification du contexte, des outils déjà utilisés, des données disponibles et des arbitrages de confidentialité propres au prospect.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2B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E5D8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2B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B6B7A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