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Assistanat &amp; Secrétariat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01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Assistanat &amp; Secrétariat | Contextes proches : Administration publique ; Institution régionale ; Hôtellerie / Tourisme ; Audit / Conseil ; Administration / Numérique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Ce contexte concerne les structures où la direction, l’assistanat ou la coordination administrative absorbent un volume élevé de courriers, réunions, validations et suivis transverses.</w:t>
      </w:r>
    </w:p>
    <w:p>
      <w:pPr>
        <w:pStyle w:val="ListBullet"/>
        <w:spacing w:after="40"/>
      </w:pPr>
      <w:r>
        <w:t>Rédaction lente et dispersée : Courriers, notes, synthèses et messages importants sont produits de façon hétérogène. Des modèles guidés, prompts validés et relectures plus rapides rendent la production plus nette et plus homogène.</w:t>
      </w:r>
    </w:p>
    <w:p>
      <w:pPr>
        <w:pStyle w:val="ListBullet"/>
        <w:spacing w:after="40"/>
      </w:pPr>
      <w:r>
        <w:t>Réunions nombreuses, mémoire faible : Les décisions, actions et arbitrages se perdent entre comptes rendus, messages et relances. Les réunions sont synthétisées plus vite avec une sortie claire : décisions, responsables, échéances et points en attente.</w:t>
      </w:r>
    </w:p>
    <w:p>
      <w:pPr>
        <w:pStyle w:val="ListBullet"/>
        <w:spacing w:after="40"/>
      </w:pPr>
      <w:r>
        <w:t>Agenda et priorités mal arbitré : Les urgences dominent et les tâches à forte valeur sont noyées dans le flux quotidien. La préparation des journées, des rendez-vous et des arbitrages devient plus structurée et plus visible.</w:t>
      </w:r>
    </w:p>
    <w:p>
      <w:pPr>
        <w:pStyle w:val="ListBullet"/>
        <w:spacing w:after="40"/>
      </w:pPr>
      <w:r>
        <w:t>Dépendance à quelques personnes : L’information utile reste souvent dans les mails, la mémoire ou les habitudes de quelques assistants clés. Les bonnes pratiques, formats et réponses types deviennent partageables, transmissibles et réutilisables.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Administration publique ; Institution régionale ; Hôtellerie / Tourisme ; Audit / Conseil ; Administration / Numérique.</w:t>
      </w:r>
    </w:p>
    <w:p>
      <w:pPr>
        <w:pStyle w:val="ListBullet"/>
        <w:spacing w:after="40"/>
      </w:pPr>
      <w:r>
        <w:t>Les enjeux confirmés au cadrage doivent être reliés à des priorités visibles pour l’assistanat et le secrétariat.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Courriers et correspondances premium</w:t>
      </w:r>
      <w:r>
        <w:t xml:space="preserve"> : Des trames guidées permettent de rédiger plus vite, avec le bon ton et les bonnes pièces. KPI de référence : Temps moyen de rédaction ; taux de validation du premier jet.</w:t>
      </w:r>
    </w:p>
    <w:p>
      <w:pPr>
        <w:pStyle w:val="ListBullet"/>
        <w:spacing w:after="40"/>
      </w:pPr>
      <w:r>
        <w:rPr>
          <w:b/>
        </w:rPr>
        <w:t>Synthèse de réunions et plan d’action</w:t>
      </w:r>
      <w:r>
        <w:t xml:space="preserve"> : Chaque réunion débouche sur un résumé clair, des décisions, des responsables et un suivi prêt à partir. KPI de référence : Délai d’envoi du compte rendu ; taux d’actions clôturées.</w:t>
      </w:r>
    </w:p>
    <w:p>
      <w:pPr>
        <w:pStyle w:val="ListBullet"/>
        <w:spacing w:after="40"/>
      </w:pPr>
      <w:r>
        <w:rPr>
          <w:b/>
        </w:rPr>
        <w:t>Agenda, relances et préparation exécutive</w:t>
      </w:r>
      <w:r>
        <w:t xml:space="preserve"> : L’IA prépare les briefs, rappels, points d’attention et dossiers de séance de façon plus régulière. KPI de référence : Temps de préparation ; nombre d’oublis ou reports critiques.</w:t>
      </w:r>
    </w:p>
    <w:p>
      <w:pPr>
        <w:pStyle w:val="ListBullet"/>
        <w:spacing w:after="40"/>
      </w:pPr>
      <w:r>
        <w:rPr>
          <w:b/>
        </w:rPr>
        <w:t>Base documentaire d’assistanat</w:t>
      </w:r>
      <w:r>
        <w:t xml:space="preserve"> : Une base simple consolide réponses types, formats et bonnes pratiques réutilisables. KPI de référence : Temps de recherche documentaire ; homogénéité des livrables.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Assistanat &amp; Secrétariat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générales, assistantes de direction, secrétariats exécutifs, coordinations administratives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30 à 50 % sur le temps de rédaction (courriers, notes et synthèses).</w:t>
      </w:r>
    </w:p>
    <w:p>
      <w:pPr>
        <w:pStyle w:val="ListBullet"/>
        <w:spacing w:after="40"/>
      </w:pPr>
      <w:r>
        <w:t>2x plus vite pour préparer un rendez-vous (brief, ordre du jour, pièces clés).</w:t>
      </w:r>
    </w:p>
    <w:p>
      <w:pPr>
        <w:pStyle w:val="ListBullet"/>
        <w:spacing w:after="40"/>
      </w:pPr>
      <w:r>
        <w:t>Meilleure traçabilité des décisions et relances (après réunions et arbitrages).</w:t>
      </w:r>
    </w:p>
    <w:p>
      <w:pPr>
        <w:pStyle w:val="ListBullet"/>
        <w:spacing w:after="40"/>
      </w:pPr>
      <w:r>
        <w:t>Onboarding accéléré des assistants et coordinations (méthodes et formats plus stables).</w:t>
      </w:r>
    </w:p>
    <w:p>
      <w:pPr>
        <w:pStyle w:val="ListBullet"/>
        <w:spacing w:after="40"/>
      </w:pPr>
      <w:r>
        <w:t>Une feuille de route claire sur les deux premiers cas d’usage à lancer dans l’assistanat et le secrétariat.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l’assistanat et le secrétariat.</w:t>
      </w:r>
    </w:p>
    <w:p>
      <w:pPr>
        <w:pStyle w:val="ListBullet"/>
        <w:spacing w:after="40"/>
      </w:pPr>
      <w:r>
        <w:t>Savoir structurer et piloter le cas d’usage « Courriers et correspondances premium ».</w:t>
      </w:r>
    </w:p>
    <w:p>
      <w:pPr>
        <w:pStyle w:val="ListBullet"/>
        <w:spacing w:after="40"/>
      </w:pPr>
      <w:r>
        <w:t>Savoir structurer et piloter le cas d’usage « Synthèse de réunions et plan d’action ».</w:t>
      </w:r>
    </w:p>
    <w:p>
      <w:pPr>
        <w:pStyle w:val="ListBullet"/>
        <w:spacing w:after="40"/>
      </w:pPr>
      <w:r>
        <w:t>Savoir structurer et piloter le cas d’usage « Agenda, relances et préparation exécutive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Ce contexte concerne les structures où la direction, l’assistanat ou la coordination administrative absorbent un volume élevé de courriers, réunions, validations et suivis transverses.</w:t>
      </w:r>
    </w:p>
    <w:p>
      <w:pPr>
        <w:pStyle w:val="ListBullet"/>
        <w:spacing w:after="40"/>
      </w:pPr>
      <w:r>
        <w:t>Cartographie des priorités métier confirmées : Rédaction lente et dispersée ; Réunions nombreuses, mémoire faible ; Agenda et priorités mal arbitré.</w:t>
      </w:r>
    </w:p>
    <w:p>
      <w:pPr>
        <w:pStyle w:val="ListBullet"/>
        <w:spacing w:after="40"/>
      </w:pPr>
      <w:r>
        <w:t>Études de cas guidées autour de « Courriers et correspondances premium » et « Synthèse de réunions et plan d’action ».</w:t>
      </w:r>
    </w:p>
    <w:p>
      <w:pPr>
        <w:pStyle w:val="ListBullet"/>
        <w:spacing w:after="40"/>
      </w:pPr>
      <w:r>
        <w:t>Méthodes, outils et gestes professionnels à partir des ancrages pédagogiques suivants : Gestion Intelligente de l’Agenda avec l’IA ; Rédaction Professionnelle Assistée par IA ; Synthèse de Réunions avec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Agenda, relances et préparation exécutive » et « Base documentaire d’assistanat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Gestion de Projets Augmentée par l’IA ; Communication Professionnelle &amp; IA ; Organisation Digitale et 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l’assistanat et le secrétariat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Courriers et correspondances premium » ; « Synthèse de réunions et plan d’action » ; « Agenda, relances et préparation exécutive » ; « Base documentaire d’assistanat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Gestion Intelligente de l’Agenda avec l’IA ; Rédaction Professionnelle Assistée par IA ; Synthèse de Réunions avec l’IA ; Gestion de Projets Augmentée par l’IA.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Gestion Intelligente de l’Agenda avec l’IA</w:t>
      </w:r>
    </w:p>
    <w:p>
      <w:pPr>
        <w:pStyle w:val="ListBullet"/>
        <w:spacing w:after="40"/>
      </w:pPr>
      <w:r>
        <w:t>Rédaction Professionnelle Assistée par IA</w:t>
      </w:r>
    </w:p>
    <w:p>
      <w:pPr>
        <w:pStyle w:val="ListBullet"/>
        <w:spacing w:after="40"/>
      </w:pPr>
      <w:r>
        <w:t>Synthèse de Réunions avec l’IA</w:t>
      </w:r>
    </w:p>
    <w:p>
      <w:pPr>
        <w:pStyle w:val="ListBullet"/>
        <w:spacing w:after="40"/>
      </w:pPr>
      <w:r>
        <w:t>Gestion de Projets Augmentée par l’IA</w:t>
      </w:r>
    </w:p>
    <w:p>
      <w:pPr>
        <w:pStyle w:val="ListBullet"/>
        <w:spacing w:after="40"/>
      </w:pPr>
      <w:r>
        <w:t>Communication Professionnelle &amp; IA</w:t>
      </w:r>
    </w:p>
    <w:p>
      <w:pPr>
        <w:pStyle w:val="ListBullet"/>
        <w:spacing w:after="40"/>
      </w:pPr>
      <w:r>
        <w:t>Organisation Digitale et 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