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pBdr>
          <w:bottom w:val="single" w:sz="8" w:space="1" w:color="D9E2F2"/>
        </w:pBdr>
      </w:pPr>
      <w:r>
        <w:t>TransferAI - Mini catalogue premium Data &amp; Analyse</w:t>
      </w:r>
    </w:p>
    <w:p>
      <w:pPr>
        <w:pStyle w:val="Subtitle"/>
        <w:spacing w:after="280"/>
        <w:jc w:val="center"/>
      </w:pPr>
      <w:r>
        <w:t>Catalogue ciblé par secteur | Formule prioritaire sur mesure | Édition du 2026-06-12 · Ce document est conçu pour des prospects de même univers métier. Il peut être adapté à une organisation précise après audit IA gratuit et échange expert de qualification.</w:t>
      </w:r>
    </w:p>
    <w:p>
      <w:pPr>
        <w:pStyle w:val="Heading1"/>
        <w:spacing w:before="200" w:after="60"/>
      </w:pPr>
      <w:r>
        <w:t>Fiche sectorielle 07 / 16</w:t>
      </w:r>
    </w:p>
    <w:p>
      <w:pPr>
        <w:pStyle w:val="Heading2"/>
        <w:spacing w:before="120" w:after="60"/>
      </w:pPr>
      <w:r>
        <w:t>Domaine de référence</w:t>
      </w:r>
    </w:p>
    <w:p>
      <w:pPr>
        <w:pStyle w:val="ListBullet"/>
        <w:spacing w:after="40"/>
      </w:pPr>
      <w:r>
        <w:t>Data &amp; Analyse | Contextes proches : Banque / Finance ; Assurance ; Télécommunications ; Énergie / Électricité ; Agro-industrie / Cacao</w:t>
      </w:r>
    </w:p>
    <w:p>
      <w:pPr>
        <w:pStyle w:val="Heading2"/>
        <w:spacing w:before="120" w:after="60"/>
      </w:pPr>
      <w:r>
        <w:t>Enjeux sectoriels</w:t>
      </w:r>
    </w:p>
    <w:p>
      <w:pPr>
        <w:pStyle w:val="ListBullet"/>
        <w:spacing w:after="40"/>
      </w:pPr>
      <w:r>
        <w:t>Dans ce domaine, l’IA est surtout utile pour commenter, résumer, structurer et démocratiser la lecture des données sans affaiblir la qualité des modèles ni la gouvernance.</w:t>
      </w:r>
    </w:p>
    <w:p>
      <w:pPr>
        <w:pStyle w:val="ListBullet"/>
        <w:spacing w:after="40"/>
      </w:pPr>
      <w:r>
        <w:t>Données présentes, lecture insuffisante : Les tableaux existent mais demandent encore beaucoup d’efforts pour être compris et actionnés. Les synthèses et commentaires automatiques aident à relire les écarts, signaux et tendances plus vite.</w:t>
      </w:r>
    </w:p>
    <w:p>
      <w:pPr>
        <w:pStyle w:val="ListBullet"/>
        <w:spacing w:after="40"/>
      </w:pPr>
      <w:r>
        <w:t>Préparation de données chronophage : Le nettoyage, la documentation et les requêtes récurrentes consomment trop de bande passante experte. Les routines de préparation et d’explication deviennent plus rapides et plus transmissibles.</w:t>
      </w:r>
    </w:p>
    <w:p>
      <w:pPr>
        <w:pStyle w:val="ListBullet"/>
        <w:spacing w:after="40"/>
      </w:pPr>
      <w:r>
        <w:t>Décideurs peu autonomes : Les métiers dépendent fortement de quelques profils data pour répondre aux questions simples. Des sorties plus pédagogiques et mieux formulées élargissent l’usage business des données.</w:t>
      </w:r>
    </w:p>
    <w:p>
      <w:pPr>
        <w:pStyle w:val="ListBullet"/>
        <w:spacing w:after="40"/>
      </w:pPr>
      <w:r>
        <w:t>Gouvernance parfois faible : Les sources, définitions et usages ne sont pas toujours suffisamment cadrés. Les règles de qualité, dictionnaires et usages pilotés sont mieux structurés autour de la donnée utile.</w:t>
      </w:r>
    </w:p>
    <w:p>
      <w:pPr>
        <w:pStyle w:val="Heading2"/>
        <w:spacing w:before="120" w:after="60"/>
      </w:pPr>
      <w:r>
        <w:t>Contexte secteur à confirmer</w:t>
      </w:r>
    </w:p>
    <w:p>
      <w:pPr>
        <w:pStyle w:val="ListBullet"/>
        <w:spacing w:after="40"/>
      </w:pPr>
      <w:r>
        <w:t>Exemples de contextes proches : Banque / Finance ; Assurance ; Télécommunications ; Énergie / Électricité ; Agro-industrie / Cacao.</w:t>
      </w:r>
    </w:p>
    <w:p>
      <w:pPr>
        <w:pStyle w:val="ListBullet"/>
        <w:spacing w:after="40"/>
      </w:pPr>
      <w:r>
        <w:t>Les enjeux confirmés au cadrage doivent être reliés à des priorités visibles pour la data et l’analyse.</w:t>
      </w:r>
    </w:p>
    <w:p>
      <w:pPr>
        <w:pStyle w:val="ListBullet"/>
        <w:spacing w:after="40"/>
      </w:pPr>
      <w:r>
        <w:t>Le périmètre à confirmer peut concerner un site pilote, une direction donnée, une équipe support ou un processus transverse.</w:t>
      </w:r>
    </w:p>
    <w:p>
      <w:pPr>
        <w:pStyle w:val="ListBullet"/>
        <w:spacing w:after="40"/>
      </w:pPr>
      <w:r>
        <w:t>Les cas d’usage retenus doivent être validés selon les données disponibles, les règles de confidentialité et la capacité de supervision humaine.</w:t>
      </w:r>
    </w:p>
    <w:p>
      <w:pPr>
        <w:pStyle w:val="Heading2"/>
        <w:spacing w:before="120" w:after="60"/>
      </w:pPr>
      <w:r>
        <w:t>Cas d’usage TransferAI mis en avant</w:t>
      </w:r>
    </w:p>
    <w:p>
      <w:pPr>
        <w:pStyle w:val="ListBullet"/>
        <w:spacing w:after="40"/>
      </w:pPr>
      <w:r>
        <w:rPr>
          <w:b/>
        </w:rPr>
        <w:t>Commentaires automatiques de tableaux de bord</w:t>
      </w:r>
      <w:r>
        <w:t xml:space="preserve"> : Des synthèses claires aident à comprendre rapidement les écarts, alertes et priorités. KPI de référence : Temps de lecture des KPI ; délai d’arbitrage.</w:t>
      </w:r>
    </w:p>
    <w:p>
      <w:pPr>
        <w:pStyle w:val="ListBullet"/>
        <w:spacing w:after="40"/>
      </w:pPr>
      <w:r>
        <w:rPr>
          <w:b/>
        </w:rPr>
        <w:t>Préparation et nettoyage assistés</w:t>
      </w:r>
      <w:r>
        <w:t xml:space="preserve"> : Les équipes accélèrent la documentation, le nettoyage et les requêtes récurrentes. KPI de référence : Temps de préparation ; nombre d’itérations évitées.</w:t>
      </w:r>
    </w:p>
    <w:p>
      <w:pPr>
        <w:pStyle w:val="ListBullet"/>
        <w:spacing w:after="40"/>
      </w:pPr>
      <w:r>
        <w:rPr>
          <w:b/>
        </w:rPr>
        <w:t>BI plus pédagogique pour les métiers</w:t>
      </w:r>
      <w:r>
        <w:t xml:space="preserve"> : Les sorties deviennent plus pédagogiques avec des recommandations de lecture mieux formulées. KPI de référence : Taux d’usage des dashboards ; nombre de décisions soutenues.</w:t>
      </w:r>
    </w:p>
    <w:p>
      <w:pPr>
        <w:pStyle w:val="ListBullet"/>
        <w:spacing w:after="40"/>
      </w:pPr>
      <w:r>
        <w:rPr>
          <w:b/>
        </w:rPr>
        <w:t>Gouvernance des données et dictionnaires</w:t>
      </w:r>
      <w:r>
        <w:t xml:space="preserve"> : Les référentiels deviennent plus faciles à documenter, relire et partager. KPI de référence : Temps de documentation ; cohérence des définitions.</w:t>
      </w:r>
    </w:p>
    <w:p>
      <w:pPr>
        <w:pStyle w:val="Heading1"/>
        <w:spacing w:before="200" w:after="60"/>
      </w:pPr>
      <w:r>
        <w:t>Formule prioritaire recommandée</w:t>
      </w:r>
    </w:p>
    <w:p>
      <w:pPr>
        <w:pStyle w:val="Heading2"/>
        <w:spacing w:before="120" w:after="60"/>
      </w:pPr>
      <w:r>
        <w:t>Intitulé</w:t>
      </w:r>
    </w:p>
    <w:p>
      <w:pPr>
        <w:pStyle w:val="ListBullet"/>
        <w:spacing w:after="40"/>
      </w:pPr>
      <w:r>
        <w:t>Bootcamp IA sectoriel Data &amp; Analyse : de l’acculturation utile au premier pilote mesurable</w:t>
      </w:r>
    </w:p>
    <w:p>
      <w:pPr>
        <w:pStyle w:val="Heading2"/>
        <w:spacing w:before="120" w:after="60"/>
      </w:pPr>
      <w:r>
        <w:t>Public cible</w:t>
      </w:r>
    </w:p>
    <w:p>
      <w:pPr>
        <w:pStyle w:val="ListBullet"/>
        <w:spacing w:after="40"/>
      </w:pPr>
      <w:r>
        <w:t>Directions data, BI, performance, contrôle, équipes d’analystes et managers utilisateurs</w:t>
      </w:r>
    </w:p>
    <w:p>
      <w:pPr>
        <w:pStyle w:val="Heading2"/>
        <w:spacing w:before="120" w:after="60"/>
      </w:pPr>
      <w:r>
        <w:t>Formats possibles</w:t>
      </w:r>
    </w:p>
    <w:p>
      <w:pPr>
        <w:pStyle w:val="ListBullet"/>
        <w:spacing w:after="40"/>
      </w:pPr>
      <w:r>
        <w:t>Présentiel</w:t>
      </w:r>
    </w:p>
    <w:p>
      <w:pPr>
        <w:pStyle w:val="ListBullet"/>
        <w:spacing w:after="40"/>
      </w:pPr>
      <w:r>
        <w:t>Hybride</w:t>
      </w:r>
    </w:p>
    <w:p>
      <w:pPr>
        <w:pStyle w:val="ListBullet"/>
        <w:spacing w:after="40"/>
      </w:pPr>
      <w:r>
        <w:t>En ligne (style webinaire)</w:t>
      </w:r>
    </w:p>
    <w:p>
      <w:pPr>
        <w:pStyle w:val="Heading2"/>
        <w:spacing w:before="120" w:after="60"/>
      </w:pPr>
      <w:r>
        <w:t>Niveaux</w:t>
      </w:r>
    </w:p>
    <w:p>
      <w:pPr>
        <w:pStyle w:val="ListBullet"/>
        <w:spacing w:after="40"/>
      </w:pPr>
      <w:r>
        <w:t>Débutant</w:t>
      </w:r>
    </w:p>
    <w:p>
      <w:pPr>
        <w:pStyle w:val="ListBullet"/>
        <w:spacing w:after="40"/>
      </w:pPr>
      <w:r>
        <w:t>Intermédiaire</w:t>
      </w:r>
    </w:p>
    <w:p>
      <w:pPr>
        <w:pStyle w:val="ListBullet"/>
        <w:spacing w:after="40"/>
      </w:pPr>
      <w:r>
        <w:t>Avancé</w:t>
      </w:r>
    </w:p>
    <w:p>
      <w:pPr>
        <w:pStyle w:val="Heading2"/>
        <w:spacing w:before="120" w:after="60"/>
      </w:pPr>
      <w:r>
        <w:t>Durée</w:t>
      </w:r>
    </w:p>
    <w:p>
      <w:pPr>
        <w:pStyle w:val="ListBullet"/>
        <w:spacing w:after="40"/>
      </w:pPr>
      <w:r>
        <w:t>1 jour : version décideurs et managers</w:t>
      </w:r>
    </w:p>
    <w:p>
      <w:pPr>
        <w:pStyle w:val="ListBullet"/>
        <w:spacing w:after="40"/>
      </w:pPr>
      <w:r>
        <w:t>2 jours : version équipes, managers et mise en pratique</w:t>
      </w:r>
    </w:p>
    <w:p>
      <w:pPr>
        <w:pStyle w:val="Heading2"/>
        <w:spacing w:before="120" w:after="60"/>
      </w:pPr>
      <w:r>
        <w:t>Tarif</w:t>
      </w:r>
    </w:p>
    <w:p>
      <w:pPr>
        <w:pStyle w:val="ListBullet"/>
        <w:spacing w:after="40"/>
      </w:pPr>
      <w:r>
        <w:t>Prix sur demande</w:t>
      </w:r>
    </w:p>
    <w:p>
      <w:pPr>
        <w:pStyle w:val="Heading2"/>
        <w:spacing w:before="120" w:after="60"/>
      </w:pPr>
      <w:r>
        <w:t>Résultats attendus</w:t>
      </w:r>
    </w:p>
    <w:p>
      <w:pPr>
        <w:pStyle w:val="ListBullet"/>
        <w:spacing w:after="40"/>
      </w:pPr>
      <w:r>
        <w:t>25 à 45 % sur le temps de reporting (commentaires, synthèses, notes).</w:t>
      </w:r>
    </w:p>
    <w:p>
      <w:pPr>
        <w:pStyle w:val="ListBullet"/>
        <w:spacing w:after="40"/>
      </w:pPr>
      <w:r>
        <w:t>Lecture plus rapide des écarts KPI (pour managers et direction).</w:t>
      </w:r>
    </w:p>
    <w:p>
      <w:pPr>
        <w:pStyle w:val="ListBullet"/>
        <w:spacing w:after="40"/>
      </w:pPr>
      <w:r>
        <w:t>Plus d’autonomie métier sur les demandes simples (questions et relances récurrentes).</w:t>
      </w:r>
    </w:p>
    <w:p>
      <w:pPr>
        <w:pStyle w:val="ListBullet"/>
        <w:spacing w:after="40"/>
      </w:pPr>
      <w:r>
        <w:t>Gouvernance renforcée sur les sources et définitions (qualité des indicateurs).</w:t>
      </w:r>
    </w:p>
    <w:p>
      <w:pPr>
        <w:pStyle w:val="ListBullet"/>
        <w:spacing w:after="40"/>
      </w:pPr>
      <w:r>
        <w:t>Une feuille de route claire sur les deux premiers cas d’usage à lancer dans la data et l’analyse.</w:t>
      </w:r>
    </w:p>
    <w:p>
      <w:pPr>
        <w:pStyle w:val="ListBullet"/>
        <w:spacing w:after="40"/>
      </w:pPr>
      <w:r>
        <w:t>Une meilleure capacité à relier formation, gouvernance, pilote et retour sur investissement visible.</w:t>
      </w:r>
    </w:p>
    <w:p>
      <w:pPr>
        <w:pStyle w:val="Heading2"/>
        <w:spacing w:before="120" w:after="60"/>
      </w:pPr>
      <w:r>
        <w:t>Objectifs pédagogiques</w:t>
      </w:r>
    </w:p>
    <w:p>
      <w:pPr>
        <w:pStyle w:val="ListBullet"/>
        <w:spacing w:after="40"/>
      </w:pPr>
      <w:r>
        <w:t>Identifier les priorités métier les plus crédibles à traiter par l’IA dans la data et l’analyse.</w:t>
      </w:r>
    </w:p>
    <w:p>
      <w:pPr>
        <w:pStyle w:val="ListBullet"/>
        <w:spacing w:after="40"/>
      </w:pPr>
      <w:r>
        <w:t>Savoir structurer et piloter le cas d’usage « Commentaires automatiques de tableaux de bord ».</w:t>
      </w:r>
    </w:p>
    <w:p>
      <w:pPr>
        <w:pStyle w:val="ListBullet"/>
        <w:spacing w:after="40"/>
      </w:pPr>
      <w:r>
        <w:t>Savoir structurer et piloter le cas d’usage « Préparation et nettoyage assistés ».</w:t>
      </w:r>
    </w:p>
    <w:p>
      <w:pPr>
        <w:pStyle w:val="ListBullet"/>
        <w:spacing w:after="40"/>
      </w:pPr>
      <w:r>
        <w:t>Savoir structurer et piloter le cas d’usage « BI plus pédagogique pour les métiers ».</w:t>
      </w:r>
    </w:p>
    <w:p>
      <w:pPr>
        <w:pStyle w:val="ListBullet"/>
        <w:spacing w:after="40"/>
      </w:pPr>
      <w:r>
        <w:t>Distinguer les usages immédiatement activables, les usages à encadrer et les usages à piloter dans le temps.</w:t>
      </w:r>
    </w:p>
    <w:p>
      <w:pPr>
        <w:pStyle w:val="ListBullet"/>
        <w:spacing w:after="40"/>
      </w:pPr>
      <w:r>
        <w:t>Définir des KPI simples, un cadre de confiance et un premier plan d’action à 90 jours.</w:t>
      </w:r>
    </w:p>
    <w:p>
      <w:pPr>
        <w:pStyle w:val="Heading2"/>
        <w:spacing w:before="120" w:after="60"/>
      </w:pPr>
      <w:r>
        <w:t>Programme</w:t>
      </w:r>
    </w:p>
    <w:p>
      <w:pPr>
        <w:pStyle w:val="Heading3"/>
        <w:spacing w:before="120" w:after="60"/>
      </w:pPr>
      <w:r>
        <w:t>Jour 1</w:t>
      </w:r>
    </w:p>
    <w:p>
      <w:pPr>
        <w:pStyle w:val="ListBullet"/>
        <w:spacing w:after="40"/>
      </w:pPr>
      <w:r>
        <w:t>Lecture des enjeux sectoriels : Dans ce domaine, l’IA est surtout utile pour commenter, résumer, structurer et démocratiser la lecture des données sans affaiblir la qualité des modèles ni la gouvernance.</w:t>
      </w:r>
    </w:p>
    <w:p>
      <w:pPr>
        <w:pStyle w:val="ListBullet"/>
        <w:spacing w:after="40"/>
      </w:pPr>
      <w:r>
        <w:t>Cartographie des priorités métier confirmées : Données présentes, lecture insuffisante ; Préparation de données chronophage ; Décideurs peu autonomes.</w:t>
      </w:r>
    </w:p>
    <w:p>
      <w:pPr>
        <w:pStyle w:val="ListBullet"/>
        <w:spacing w:after="40"/>
      </w:pPr>
      <w:r>
        <w:t>Études de cas guidées autour de « Commentaires automatiques de tableaux de bord » et « Préparation et nettoyage assistés ».</w:t>
      </w:r>
    </w:p>
    <w:p>
      <w:pPr>
        <w:pStyle w:val="ListBullet"/>
        <w:spacing w:after="40"/>
      </w:pPr>
      <w:r>
        <w:t>Méthodes, outils et gestes professionnels à partir des ancrages pédagogiques suivants : Power BI et Tableaux de Bord IA ; Business Intelligence et IA ; Visualisation de Données avec IA.</w:t>
      </w:r>
    </w:p>
    <w:p>
      <w:pPr>
        <w:pStyle w:val="ListBullet"/>
        <w:spacing w:after="40"/>
      </w:pPr>
      <w:r>
        <w:t>Cadre de confiance : confidentialité, supervision humaine, validation managériale et critères d’extension.</w:t>
      </w:r>
    </w:p>
    <w:p>
      <w:pPr>
        <w:pStyle w:val="Heading3"/>
        <w:spacing w:before="120" w:after="60"/>
      </w:pPr>
      <w:r>
        <w:t>Jour 2</w:t>
      </w:r>
    </w:p>
    <w:p>
      <w:pPr>
        <w:pStyle w:val="ListBullet"/>
        <w:spacing w:after="40"/>
      </w:pPr>
      <w:r>
        <w:t>Cette journée s’active lorsque la formule 2 jours est retenue.</w:t>
      </w:r>
    </w:p>
    <w:p>
      <w:pPr>
        <w:pStyle w:val="ListBullet"/>
        <w:spacing w:after="40"/>
      </w:pPr>
      <w:r>
        <w:t>Ateliers de conception sur « BI plus pédagogique pour les métiers » et « Gouvernance des données et dictionnaires ».</w:t>
      </w:r>
    </w:p>
    <w:p>
      <w:pPr>
        <w:pStyle w:val="ListBullet"/>
        <w:spacing w:after="40"/>
      </w:pPr>
      <w:r>
        <w:t>Construction de prompts, trames, routines et scénarios d’usage adaptés au terrain.</w:t>
      </w:r>
    </w:p>
    <w:p>
      <w:pPr>
        <w:pStyle w:val="ListBullet"/>
        <w:spacing w:after="40"/>
      </w:pPr>
      <w:r>
        <w:t>Approfondissements recommandés : SQL et Bases de Données pour l’Analyse IA ; Nettoyage et Préparation de Données avec l’IA ; Gouvernance des Données et IA.</w:t>
      </w:r>
    </w:p>
    <w:p>
      <w:pPr>
        <w:pStyle w:val="ListBullet"/>
        <w:spacing w:after="40"/>
      </w:pPr>
      <w:r>
        <w:t>Définition du premier pilote, des livrables attendus et des KPI de suivi.</w:t>
      </w:r>
    </w:p>
    <w:p>
      <w:pPr>
        <w:pStyle w:val="ListBullet"/>
        <w:spacing w:after="40"/>
      </w:pPr>
      <w:r>
        <w:t>Plan d’action à 90 jours : séquencement, populations à former, gouvernance et arbitrages de déploiement.</w:t>
      </w:r>
    </w:p>
    <w:p>
      <w:pPr>
        <w:pStyle w:val="Heading2"/>
        <w:spacing w:before="120" w:after="60"/>
      </w:pPr>
      <w:r>
        <w:t>Livrables / attendus</w:t>
      </w:r>
    </w:p>
    <w:p>
      <w:pPr>
        <w:pStyle w:val="ListBullet"/>
        <w:spacing w:after="40"/>
      </w:pPr>
      <w:r>
        <w:t>Une note de cadrage sectorielle pour la data et l’analyse avec priorités confirmées, risques et premières décisions.</w:t>
      </w:r>
    </w:p>
    <w:p>
      <w:pPr>
        <w:pStyle w:val="ListBullet"/>
        <w:spacing w:after="40"/>
      </w:pPr>
      <w:r>
        <w:t>Une matrice des cas d’usage prioritaires incluant « Commentaires automatiques de tableaux de bord » ; « Préparation et nettoyage assistés » ; « BI plus pédagogique pour les métiers » ; « Gouvernance des données et dictionnaires ».</w:t>
      </w:r>
    </w:p>
    <w:p>
      <w:pPr>
        <w:pStyle w:val="ListBullet"/>
        <w:spacing w:after="40"/>
      </w:pPr>
      <w:r>
        <w:t>Un canevas de pilote à 90 jours avec KPI, rôles, supervision et critères de succès.</w:t>
      </w:r>
    </w:p>
    <w:p>
      <w:pPr>
        <w:pStyle w:val="ListBullet"/>
        <w:spacing w:after="40"/>
      </w:pPr>
      <w:r>
        <w:t>Une recommandation de parcours de montée en compétences à partir de : Power BI et Tableaux de Bord IA ; Business Intelligence et IA ; Visualisation de Données avec IA ; SQL et Bases de Données pour l’Analyse IA.</w:t>
      </w:r>
    </w:p>
    <w:p>
      <w:pPr>
        <w:pStyle w:val="Heading2"/>
        <w:spacing w:before="120" w:after="60"/>
      </w:pPr>
      <w:r>
        <w:t>Ancrages pédagogiques recommandés</w:t>
      </w:r>
    </w:p>
    <w:p>
      <w:pPr>
        <w:pStyle w:val="ListBullet"/>
        <w:spacing w:after="40"/>
      </w:pPr>
      <w:r>
        <w:t>Power BI et Tableaux de Bord IA</w:t>
      </w:r>
    </w:p>
    <w:p>
      <w:pPr>
        <w:pStyle w:val="ListBullet"/>
        <w:spacing w:after="40"/>
      </w:pPr>
      <w:r>
        <w:t>Business Intelligence et IA</w:t>
      </w:r>
    </w:p>
    <w:p>
      <w:pPr>
        <w:pStyle w:val="ListBullet"/>
        <w:spacing w:after="40"/>
      </w:pPr>
      <w:r>
        <w:t>Visualisation de Données avec IA</w:t>
      </w:r>
    </w:p>
    <w:p>
      <w:pPr>
        <w:pStyle w:val="ListBullet"/>
        <w:spacing w:after="40"/>
      </w:pPr>
      <w:r>
        <w:t>SQL et Bases de Données pour l’Analyse IA</w:t>
      </w:r>
    </w:p>
    <w:p>
      <w:pPr>
        <w:pStyle w:val="ListBullet"/>
        <w:spacing w:after="40"/>
      </w:pPr>
      <w:r>
        <w:t>Nettoyage et Préparation de Données avec l’IA</w:t>
      </w:r>
    </w:p>
    <w:p>
      <w:pPr>
        <w:pStyle w:val="ListBullet"/>
        <w:spacing w:after="40"/>
      </w:pPr>
      <w:r>
        <w:t>Gouvernance des Données et IA</w:t>
      </w:r>
    </w:p>
    <w:p>
      <w:pPr>
        <w:pStyle w:val="Heading2"/>
        <w:spacing w:before="120" w:after="60"/>
      </w:pPr>
      <w:r>
        <w:t>Mention de personnalisation</w:t>
      </w:r>
    </w:p>
    <w:p>
      <w:pPr>
        <w:pStyle w:val="ListBullet"/>
        <w:spacing w:after="40"/>
      </w:pPr>
      <w:r>
        <w:t>Le contenu final est ajusté après qualification du contexte, des outils déjà utilisés, des données disponibles et des arbitrages de confidentialité propres au prospect.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