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Diplomatie &amp; Affaires Internationales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13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Diplomatie &amp; Affaires Internationales | Contextes proches : Institution régionale ; Finance / Développement ; Développement durable ; Administration publique ; Aide humanitaire / Éducation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La vraie promesse ici n’est pas de déléguer le jugement diplomatique. C’est de réduire le temps de préparation, de veille et de coordination documentaire autour de dossiers complexes.</w:t>
      </w:r>
    </w:p>
    <w:p>
      <w:pPr>
        <w:pStyle w:val="ListBullet"/>
        <w:spacing w:after="40"/>
      </w:pPr>
      <w:r>
        <w:t>Veille trop gourmande en temps : Suivre plusieurs pays, secteurs, régulations et partenaires demande beaucoup de collecte et de tri. Les notes de veille et résumés préparatoires sont produits plus vite et plus régulièrement.</w:t>
      </w:r>
    </w:p>
    <w:p>
      <w:pPr>
        <w:pStyle w:val="ListBullet"/>
        <w:spacing w:after="40"/>
      </w:pPr>
      <w:r>
        <w:t>Briefings et missions difficiles à préparer : Les fiches pays, éléments de langage et synthèses de rendez-vous prennent du temps avant chaque déplacement ou forum. La préparation devient plus structurée, plus rapide et plus partageable.</w:t>
      </w:r>
    </w:p>
    <w:p>
      <w:pPr>
        <w:pStyle w:val="ListBullet"/>
        <w:spacing w:after="40"/>
      </w:pPr>
      <w:r>
        <w:t>Travail multilingue dispersé : Les contenus circulent en plusieurs langues sans synthèse stable entre équipes. Les documents sont plus faciles à résumer, traduire et diffuser avec méthode.</w:t>
      </w:r>
    </w:p>
    <w:p>
      <w:pPr>
        <w:pStyle w:val="ListBullet"/>
        <w:spacing w:after="40"/>
      </w:pPr>
      <w:r>
        <w:t>Coordination institutionnelle lente : Les contributions et arbitrages se consolident difficilement entre directions ou partenaires. Les synthèses et notes de convergence deviennent plus lisibles et plus rapides à partager.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Institution régionale ; Finance / Développement ; Développement durable ; Administration publique ; Aide humanitaire / Éducation.</w:t>
      </w:r>
    </w:p>
    <w:p>
      <w:pPr>
        <w:pStyle w:val="ListBullet"/>
        <w:spacing w:after="40"/>
      </w:pPr>
      <w:r>
        <w:t>Les enjeux confirmés au cadrage doivent être reliés à des priorités visibles pour la diplomatie et les affaires internationales.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Veille pays et sectorielle</w:t>
      </w:r>
      <w:r>
        <w:t xml:space="preserve"> : Les équipes disposent plus vite d’une lecture consolidée des signaux, partenaires et risques. KPI de référence : Temps de production d’une note ; fréquence de veille.</w:t>
      </w:r>
    </w:p>
    <w:p>
      <w:pPr>
        <w:pStyle w:val="ListBullet"/>
        <w:spacing w:after="40"/>
      </w:pPr>
      <w:r>
        <w:rPr>
          <w:b/>
        </w:rPr>
        <w:t>Briefings, missions et rendez-vous</w:t>
      </w:r>
      <w:r>
        <w:t xml:space="preserve"> : Les fiches, synthèses et éléments de langage sont préparés plus vite et plus proprement. KPI de référence : Temps de préparation ; délai de diffusion du briefing.</w:t>
      </w:r>
    </w:p>
    <w:p>
      <w:pPr>
        <w:pStyle w:val="ListBullet"/>
        <w:spacing w:after="40"/>
      </w:pPr>
      <w:r>
        <w:rPr>
          <w:b/>
        </w:rPr>
        <w:t>Synthèse multilingue et coopération</w:t>
      </w:r>
      <w:r>
        <w:t xml:space="preserve"> : Les notes circulent plus vite grâce à des résumés et reformulations mieux structurés. KPI de référence : Délai de diffusion ; nombre de documents traités.</w:t>
      </w:r>
    </w:p>
    <w:p>
      <w:pPr>
        <w:pStyle w:val="ListBullet"/>
        <w:spacing w:after="40"/>
      </w:pPr>
      <w:r>
        <w:rPr>
          <w:b/>
        </w:rPr>
        <w:t>Gouvernance et technologies émergentes</w:t>
      </w:r>
      <w:r>
        <w:t xml:space="preserve"> : Les décideurs disposent d’une lecture plus claire des enjeux, positions et options d’action. KPI de référence : Temps de cadrage ; nombre de notes ou positions préparées.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Diplomatie &amp; Affaires Internationales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Affaires publiques, coopération internationale, organisations régionales, cellules diplomatiques, direction pays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Veille beaucoup plus rapide sur plusieurs zones (pays, secteurs, risques, opportunités).</w:t>
      </w:r>
    </w:p>
    <w:p>
      <w:pPr>
        <w:pStyle w:val="ListBullet"/>
        <w:spacing w:after="40"/>
      </w:pPr>
      <w:r>
        <w:t>Briefings prêts plus tôt avant missions (fiches, notes, éléments de langage).</w:t>
      </w:r>
    </w:p>
    <w:p>
      <w:pPr>
        <w:pStyle w:val="ListBullet"/>
        <w:spacing w:after="40"/>
      </w:pPr>
      <w:r>
        <w:t>Coordination facilitée entre équipes (synthèses et documents multilingues).</w:t>
      </w:r>
    </w:p>
    <w:p>
      <w:pPr>
        <w:pStyle w:val="ListBullet"/>
        <w:spacing w:after="40"/>
      </w:pPr>
      <w:r>
        <w:t>Temps administratif réduit sur la préparation (collecte, lecture, reformulation).</w:t>
      </w:r>
    </w:p>
    <w:p>
      <w:pPr>
        <w:pStyle w:val="ListBullet"/>
        <w:spacing w:after="40"/>
      </w:pPr>
      <w:r>
        <w:t>Une feuille de route claire sur les deux premiers cas d’usage à lancer dans la diplomatie et les affaires internationales.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la diplomatie et les affaires internationales.</w:t>
      </w:r>
    </w:p>
    <w:p>
      <w:pPr>
        <w:pStyle w:val="ListBullet"/>
        <w:spacing w:after="40"/>
      </w:pPr>
      <w:r>
        <w:t>Savoir structurer et piloter le cas d’usage « Veille pays et sectorielle ».</w:t>
      </w:r>
    </w:p>
    <w:p>
      <w:pPr>
        <w:pStyle w:val="ListBullet"/>
        <w:spacing w:after="40"/>
      </w:pPr>
      <w:r>
        <w:t>Savoir structurer et piloter le cas d’usage « Briefings, missions et rendez-vous ».</w:t>
      </w:r>
    </w:p>
    <w:p>
      <w:pPr>
        <w:pStyle w:val="ListBullet"/>
        <w:spacing w:after="40"/>
      </w:pPr>
      <w:r>
        <w:t>Savoir structurer et piloter le cas d’usage « Synthèse multilingue et coopération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La vraie promesse ici n’est pas de déléguer le jugement diplomatique. C’est de réduire le temps de préparation, de veille et de coordination documentaire autour de dossiers complexes.</w:t>
      </w:r>
    </w:p>
    <w:p>
      <w:pPr>
        <w:pStyle w:val="ListBullet"/>
        <w:spacing w:after="40"/>
      </w:pPr>
      <w:r>
        <w:t>Cartographie des priorités métier confirmées : Veille trop gourmande en temps ; Briefings et missions difficiles à préparer ; Travail multilingue dispersé.</w:t>
      </w:r>
    </w:p>
    <w:p>
      <w:pPr>
        <w:pStyle w:val="ListBullet"/>
        <w:spacing w:after="40"/>
      </w:pPr>
      <w:r>
        <w:t>Études de cas guidées autour de « Veille pays et sectorielle » et « Briefings, missions et rendez-vous ».</w:t>
      </w:r>
    </w:p>
    <w:p>
      <w:pPr>
        <w:pStyle w:val="ListBullet"/>
        <w:spacing w:after="40"/>
      </w:pPr>
      <w:r>
        <w:t>Méthodes, outils et gestes professionnels à partir des ancrages pédagogiques suivants : Diplomatie Digitale et Intelligence Artificielle ; Intelligence Artificielle et Analyse Géopolitique ; Communication Diplomatique à l’ère de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Synthèse multilingue et coopération » et « Gouvernance et technologies émergentes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Négociation Internationale et IA ; Gouvernance Mondiale de l’Intelligence Artificielle ; Leadership Diplomatique à l’ère de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la diplomatie et les affaires internationales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Veille pays et sectorielle » ; « Briefings, missions et rendez-vous » ; « Synthèse multilingue et coopération » ; « Gouvernance et technologies émergentes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Diplomatie Digitale et Intelligence Artificielle ; Intelligence Artificielle et Analyse Géopolitique ; Communication Diplomatique à l’ère de l’IA ; Négociation Internationale et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Diplomatie Digitale et Intelligence Artificielle</w:t>
      </w:r>
    </w:p>
    <w:p>
      <w:pPr>
        <w:pStyle w:val="ListBullet"/>
        <w:spacing w:after="40"/>
      </w:pPr>
      <w:r>
        <w:t>Intelligence Artificielle et Analyse Géopolitique</w:t>
      </w:r>
    </w:p>
    <w:p>
      <w:pPr>
        <w:pStyle w:val="ListBullet"/>
        <w:spacing w:after="40"/>
      </w:pPr>
      <w:r>
        <w:t>Communication Diplomatique à l’ère de l’IA</w:t>
      </w:r>
    </w:p>
    <w:p>
      <w:pPr>
        <w:pStyle w:val="ListBullet"/>
        <w:spacing w:after="40"/>
      </w:pPr>
      <w:r>
        <w:t>Négociation Internationale et IA</w:t>
      </w:r>
    </w:p>
    <w:p>
      <w:pPr>
        <w:pStyle w:val="ListBullet"/>
        <w:spacing w:after="40"/>
      </w:pPr>
      <w:r>
        <w:t>Gouvernance Mondiale de l’Intelligence Artificielle</w:t>
      </w:r>
    </w:p>
    <w:p>
      <w:pPr>
        <w:pStyle w:val="ListBullet"/>
        <w:spacing w:after="40"/>
      </w:pPr>
      <w:r>
        <w:t>Leadership Diplomatique à l’ère de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