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Énergie &amp; Pétrole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15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Énergie &amp; Pétrole | Contextes proches : Énergie / Pétrole &amp; Gaz ; Énergie / Électricité ; Énergie / Production ; Énergie / Stockage ; Mines / Or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Dans ces contextes, l’IA doit rester très concrète : mieux commenter les opérations, réduire les délais de lecture, outiller le service et sécuriser la gouvernance autour de flux critiques.</w:t>
      </w:r>
    </w:p>
    <w:p>
      <w:pPr>
        <w:pStyle w:val="ListBullet"/>
        <w:spacing w:after="40"/>
      </w:pPr>
      <w:r>
        <w:t>Multi-activités difficiles à relier : Comptes clients, distribution, maintenance, réseau, service et pilotage remontent dans des circuits séparés. Les équipes gagnent une lecture plus consolidée des flux, incidents et priorités d’action.</w:t>
      </w:r>
    </w:p>
    <w:p>
      <w:pPr>
        <w:pStyle w:val="ListBullet"/>
        <w:spacing w:after="40"/>
      </w:pPr>
      <w:r>
        <w:t>Pilotage des comptes et opérations trop lent : Les responsables doivent assembler eux-mêmes les éléments utiles pour suivre portefeuille, recouvrement ou performance terrain. Les synthèses et alertes deviennent plus rapides et plus lisibles pour la direction et l’exploitation.</w:t>
      </w:r>
    </w:p>
    <w:p>
      <w:pPr>
        <w:pStyle w:val="ListBullet"/>
        <w:spacing w:after="40"/>
      </w:pPr>
      <w:r>
        <w:t>Maintenance et anomalies coûteuses : Les incidents, signaux faibles et points de vigilance ne sont pas toujours visibles à temps. Les historiques, alertes et retours terrain sont mieux exploités avant arbitrage humain.</w:t>
      </w:r>
    </w:p>
    <w:p>
      <w:pPr>
        <w:pStyle w:val="ListBullet"/>
        <w:spacing w:after="40"/>
      </w:pPr>
      <w:r>
        <w:t>Cadre HSE et conformité à structurer : Les équipes doivent concilier vitesse d’exécution, qualité documentaire et exigences de sécurité. Le dispositif gagne en traçabilité, en standardisation et en discipline documentaire.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ELTON Oil CI ; distributeurs énergie et hydrocarbures ; sociétés de services techniques et logistiques.</w:t>
      </w:r>
    </w:p>
    <w:p>
      <w:pPr>
        <w:pStyle w:val="ListBullet"/>
        <w:spacing w:after="40"/>
      </w:pPr>
      <w:r>
        <w:t>Les enjeux confirmés au cadrage doivent être reliés à des priorités visibles pour l’énergie et le pétrole.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Pilotage des comptes professionnels et de la performance</w:t>
      </w:r>
      <w:r>
        <w:t xml:space="preserve"> : Les responsables gagnent des synthèses plus rapides pour suivre portefeuilles, relances et arbitrages. KPI de référence : Temps de préparation comité ; délai de relance ou décision.</w:t>
      </w:r>
    </w:p>
    <w:p>
      <w:pPr>
        <w:pStyle w:val="ListBullet"/>
        <w:spacing w:after="40"/>
      </w:pPr>
      <w:r>
        <w:rPr>
          <w:b/>
        </w:rPr>
        <w:t>Maintenance, support prédictif et incidents</w:t>
      </w:r>
      <w:r>
        <w:t xml:space="preserve"> : Les alertes et historiques sont mieux commentés pour agir plus tôt sur les écarts critiques. KPI de référence : Temps de détection ; temps de réaction.</w:t>
      </w:r>
    </w:p>
    <w:p>
      <w:pPr>
        <w:pStyle w:val="ListBullet"/>
        <w:spacing w:after="40"/>
      </w:pPr>
      <w:r>
        <w:rPr>
          <w:b/>
        </w:rPr>
        <w:t>Service client et réseau de distribution</w:t>
      </w:r>
      <w:r>
        <w:t xml:space="preserve"> : Les équipes disposent de réponses plus homogènes et d’un meilleur accès à l’information utile. KPI de référence : Temps moyen de réponse ; taux de résolution au premier niveau.</w:t>
      </w:r>
    </w:p>
    <w:p>
      <w:pPr>
        <w:pStyle w:val="ListBullet"/>
        <w:spacing w:after="40"/>
      </w:pPr>
      <w:r>
        <w:rPr>
          <w:b/>
        </w:rPr>
        <w:t>Conformité HSE et gouvernance documentaire</w:t>
      </w:r>
      <w:r>
        <w:t xml:space="preserve"> : Les pratiques documentaires gagnent en cohérence, en traçabilité et en vitesse de mise à jour. KPI de référence : Temps de préparation documentaire ; nombre de points de contrôle couverts.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Énergie &amp; Pétrole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Opérations, maintenance, HSE, finance, direction de site, coordination réseau et distribution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Lecture plus rapide des comptes et opérations (synthèses, alertes, portefeuille).</w:t>
      </w:r>
    </w:p>
    <w:p>
      <w:pPr>
        <w:pStyle w:val="ListBullet"/>
        <w:spacing w:after="40"/>
      </w:pPr>
      <w:r>
        <w:t>Moins de dispersion entre terrain et direction (reporting plus commenté).</w:t>
      </w:r>
    </w:p>
    <w:p>
      <w:pPr>
        <w:pStyle w:val="ListBullet"/>
        <w:spacing w:after="40"/>
      </w:pPr>
      <w:r>
        <w:t>Réactivité accrue sur anomalies et maintenance (signaux utiles mieux consolidés).</w:t>
      </w:r>
    </w:p>
    <w:p>
      <w:pPr>
        <w:pStyle w:val="ListBullet"/>
        <w:spacing w:after="40"/>
      </w:pPr>
      <w:r>
        <w:t>Cadre mieux maîtrisé sur HSE et conformité (documents, standards, pilotage).</w:t>
      </w:r>
    </w:p>
    <w:p>
      <w:pPr>
        <w:pStyle w:val="ListBullet"/>
        <w:spacing w:after="40"/>
      </w:pPr>
      <w:r>
        <w:t>Une feuille de route claire sur les deux premiers cas d’usage à lancer dans l’énergie et le pétrole.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l’énergie et le pétrole.</w:t>
      </w:r>
    </w:p>
    <w:p>
      <w:pPr>
        <w:pStyle w:val="ListBullet"/>
        <w:spacing w:after="40"/>
      </w:pPr>
      <w:r>
        <w:t>Savoir structurer et piloter le cas d’usage « Pilotage des comptes professionnels et de la performance ».</w:t>
      </w:r>
    </w:p>
    <w:p>
      <w:pPr>
        <w:pStyle w:val="ListBullet"/>
        <w:spacing w:after="40"/>
      </w:pPr>
      <w:r>
        <w:t>Savoir structurer et piloter le cas d’usage « Maintenance, support prédictif et incidents ».</w:t>
      </w:r>
    </w:p>
    <w:p>
      <w:pPr>
        <w:pStyle w:val="ListBullet"/>
        <w:spacing w:after="40"/>
      </w:pPr>
      <w:r>
        <w:t>Savoir structurer et piloter le cas d’usage « Service client et réseau de distribution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Dans ces contextes, l’IA doit rester très concrète : mieux commenter les opérations, réduire les délais de lecture, outiller le service et sécuriser la gouvernance autour de flux critiques.</w:t>
      </w:r>
    </w:p>
    <w:p>
      <w:pPr>
        <w:pStyle w:val="ListBullet"/>
        <w:spacing w:after="40"/>
      </w:pPr>
      <w:r>
        <w:t>Cartographie des priorités métier confirmées : Multi-activités difficiles à relier ; Pilotage des comptes et opérations trop lent ; Maintenance et anomalies coûteuses.</w:t>
      </w:r>
    </w:p>
    <w:p>
      <w:pPr>
        <w:pStyle w:val="ListBullet"/>
        <w:spacing w:after="40"/>
      </w:pPr>
      <w:r>
        <w:t>Études de cas guidées autour de « Pilotage des comptes professionnels et de la performance » et « Maintenance, support prédictif et incidents ».</w:t>
      </w:r>
    </w:p>
    <w:p>
      <w:pPr>
        <w:pStyle w:val="ListBullet"/>
        <w:spacing w:after="40"/>
      </w:pPr>
      <w:r>
        <w:t>Méthodes, outils et gestes professionnels à partir des ancrages pédagogiques suivants : Gestion de Flotte et Logistique IA ; Reporting Financier Automatisé ; Support Prédictif et Maintenance Anticipée.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Service client et réseau de distribution » et « Conformité HSE et gouvernance documentaire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Leadership Data-Driven avec l’IA ; Optimisation des Processus Métier avec l’IA ; Conformité HSE et 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l’énergie et le pétrole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Pilotage des comptes professionnels et de la performance » ; « Maintenance, support prédictif et incidents » ; « Service client et réseau de distribution » ; « Conformité HSE et gouvernance documentaire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Gestion de Flotte et Logistique IA ; Reporting Financier Automatisé ; Support Prédictif et Maintenance Anticipée ; Leadership Data-Driven avec l’IA.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Gestion de Flotte et Logistique IA</w:t>
      </w:r>
    </w:p>
    <w:p>
      <w:pPr>
        <w:pStyle w:val="ListBullet"/>
        <w:spacing w:after="40"/>
      </w:pPr>
      <w:r>
        <w:t>Reporting Financier Automatisé</w:t>
      </w:r>
    </w:p>
    <w:p>
      <w:pPr>
        <w:pStyle w:val="ListBullet"/>
        <w:spacing w:after="40"/>
      </w:pPr>
      <w:r>
        <w:t>Support Prédictif et Maintenance Anticipée</w:t>
      </w:r>
    </w:p>
    <w:p>
      <w:pPr>
        <w:pStyle w:val="ListBullet"/>
        <w:spacing w:after="40"/>
      </w:pPr>
      <w:r>
        <w:t>Leadership Data-Driven avec l’IA</w:t>
      </w:r>
    </w:p>
    <w:p>
      <w:pPr>
        <w:pStyle w:val="ListBullet"/>
        <w:spacing w:after="40"/>
      </w:pPr>
      <w:r>
        <w:t>Optimisation des Processus Métier avec l’IA</w:t>
      </w:r>
    </w:p>
    <w:p>
      <w:pPr>
        <w:pStyle w:val="ListBullet"/>
        <w:spacing w:after="40"/>
      </w:pPr>
      <w:r>
        <w:t>Conformité HSE et 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