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Finance &amp; Comptabilité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04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Finance &amp; Comptabilité | Contextes proches : Banque / Finance ; Microfinance ; Fintech / Mobile Money ; Assurance ; Finance / Développement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Dans les fonctions finance, l’IA devient utile quand elle réduit les délais de lecture, de consolidation et de préparation des arbitrages sans compromettre la fiabilité.</w:t>
      </w:r>
    </w:p>
    <w:p>
      <w:pPr>
        <w:pStyle w:val="ListBullet"/>
        <w:spacing w:after="40"/>
      </w:pPr>
      <w:r>
        <w:t>Reporting lourd et répétitif : Les équipes passent beaucoup de temps à préparer, commenter et reformater l’information financière. Les synthèses, commentaires et formats de restitution se préparent plus vite et plus proprement.</w:t>
      </w:r>
    </w:p>
    <w:p>
      <w:pPr>
        <w:pStyle w:val="ListBullet"/>
        <w:spacing w:after="40"/>
      </w:pPr>
      <w:r>
        <w:t>Contrôles encore trop artisanaux : Les revues de cohérence, détections d’anomalies et analyses d’écarts reposent sur beaucoup d’efforts manuels. Des routines d’assistance accélèrent les revues et font mieux ressortir les points à investiguer.</w:t>
      </w:r>
    </w:p>
    <w:p>
      <w:pPr>
        <w:pStyle w:val="ListBullet"/>
        <w:spacing w:after="40"/>
      </w:pPr>
      <w:r>
        <w:t>Décision tardive faute de lecture claire : Les comités reçoivent l’information, mais trop tard ou trop brute pour arbitrer vite. Les décideurs disposent de notes plus synthétiques, plus lisibles et mieux reliées aux KPI.</w:t>
      </w:r>
    </w:p>
    <w:p>
      <w:pPr>
        <w:pStyle w:val="ListBullet"/>
        <w:spacing w:after="40"/>
      </w:pPr>
      <w:r>
        <w:t>Multiplication des demandes ad hoc : Chaque demande de tableau, analyse ou note perturbe la cadence des équipes comptables et contrôle. Des kits réutilisables réduisent les reprises et sécurisent les formats attendus.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Banque / Finance ; Microfinance ; Fintech / Mobile Money ; Assurance ; Finance / Développement.</w:t>
      </w:r>
    </w:p>
    <w:p>
      <w:pPr>
        <w:pStyle w:val="ListBullet"/>
        <w:spacing w:after="40"/>
      </w:pPr>
      <w:r>
        <w:t>Les enjeux confirmés au cadrage doivent être reliés à des priorités visibles pour la finance et la comptabilité.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Reporting financier automatisé</w:t>
      </w:r>
      <w:r>
        <w:t xml:space="preserve"> : L’IA accélère la production des commentaires, résumés et supports de lecture pour les décideurs. KPI de référence : Temps de production mensuel ; délai avant diffusion.</w:t>
      </w:r>
    </w:p>
    <w:p>
      <w:pPr>
        <w:pStyle w:val="ListBullet"/>
        <w:spacing w:after="40"/>
      </w:pPr>
      <w:r>
        <w:rPr>
          <w:b/>
        </w:rPr>
        <w:t>Pré-clôture et détection d’anomalies</w:t>
      </w:r>
      <w:r>
        <w:t xml:space="preserve"> : Les écarts et exceptions sont mieux repérés avant arbitrage humain et investigation détaillée. KPI de référence : Temps de revue ; nombre d’anomalies détectées plus tôt.</w:t>
      </w:r>
    </w:p>
    <w:p>
      <w:pPr>
        <w:pStyle w:val="ListBullet"/>
        <w:spacing w:after="40"/>
      </w:pPr>
      <w:r>
        <w:rPr>
          <w:b/>
        </w:rPr>
        <w:t>Audit interne augmenté</w:t>
      </w:r>
      <w:r>
        <w:t xml:space="preserve"> : Les auditeurs gagnent du temps sur les notes, checklists, synthèses et points d’attention. KPI de référence : Temps de préparation mission ; couverture documentaire.</w:t>
      </w:r>
    </w:p>
    <w:p>
      <w:pPr>
        <w:pStyle w:val="ListBullet"/>
        <w:spacing w:after="40"/>
      </w:pPr>
      <w:r>
        <w:rPr>
          <w:b/>
        </w:rPr>
        <w:t>Prévisions et trésorerie mieux relues</w:t>
      </w:r>
      <w:r>
        <w:t xml:space="preserve"> : Les scénarios deviennent plus lisibles et les hypothèses plus faciles à challenger. KPI de référence : Temps de préparation budgétaire ; délai d’arbitrage.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Finance &amp; Comptabilité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financières, contrôle de gestion, comptabilité, audit interne, trésorerie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25 à 45 % sur le temps de reporting (collecte, commentaire, mise en forme).</w:t>
      </w:r>
    </w:p>
    <w:p>
      <w:pPr>
        <w:pStyle w:val="ListBullet"/>
        <w:spacing w:after="40"/>
      </w:pPr>
      <w:r>
        <w:t>Revue plus rapide des écarts et anomalies (avant comité ou clôture).</w:t>
      </w:r>
    </w:p>
    <w:p>
      <w:pPr>
        <w:pStyle w:val="ListBullet"/>
        <w:spacing w:after="40"/>
      </w:pPr>
      <w:r>
        <w:t>Décisions mieux documentées pour la direction (notes synthétiques et KPI).</w:t>
      </w:r>
    </w:p>
    <w:p>
      <w:pPr>
        <w:pStyle w:val="ListBullet"/>
        <w:spacing w:after="40"/>
      </w:pPr>
      <w:r>
        <w:t>Contrôles plus homogènes sur plusieurs équipes (formats et méthodes alignés).</w:t>
      </w:r>
    </w:p>
    <w:p>
      <w:pPr>
        <w:pStyle w:val="ListBullet"/>
        <w:spacing w:after="40"/>
      </w:pPr>
      <w:r>
        <w:t>Une feuille de route claire sur les deux premiers cas d’usage à lancer dans la finance et la comptabilité.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la finance et la comptabilité.</w:t>
      </w:r>
    </w:p>
    <w:p>
      <w:pPr>
        <w:pStyle w:val="ListBullet"/>
        <w:spacing w:after="40"/>
      </w:pPr>
      <w:r>
        <w:t>Savoir structurer et piloter le cas d’usage « Reporting financier automatisé ».</w:t>
      </w:r>
    </w:p>
    <w:p>
      <w:pPr>
        <w:pStyle w:val="ListBullet"/>
        <w:spacing w:after="40"/>
      </w:pPr>
      <w:r>
        <w:t>Savoir structurer et piloter le cas d’usage « Pré-clôture et détection d’anomalies ».</w:t>
      </w:r>
    </w:p>
    <w:p>
      <w:pPr>
        <w:pStyle w:val="ListBullet"/>
        <w:spacing w:after="40"/>
      </w:pPr>
      <w:r>
        <w:t>Savoir structurer et piloter le cas d’usage « Audit interne augmenté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Dans les fonctions finance, l’IA devient utile quand elle réduit les délais de lecture, de consolidation et de préparation des arbitrages sans compromettre la fiabilité.</w:t>
      </w:r>
    </w:p>
    <w:p>
      <w:pPr>
        <w:pStyle w:val="ListBullet"/>
        <w:spacing w:after="40"/>
      </w:pPr>
      <w:r>
        <w:t>Cartographie des priorités métier confirmées : Reporting lourd et répétitif ; Contrôles encore trop artisanaux ; Décision tardive faute de lecture claire.</w:t>
      </w:r>
    </w:p>
    <w:p>
      <w:pPr>
        <w:pStyle w:val="ListBullet"/>
        <w:spacing w:after="40"/>
      </w:pPr>
      <w:r>
        <w:t>Études de cas guidées autour de « Reporting financier automatisé » et « Pré-clôture et détection d’anomalies ».</w:t>
      </w:r>
    </w:p>
    <w:p>
      <w:pPr>
        <w:pStyle w:val="ListBullet"/>
        <w:spacing w:after="40"/>
      </w:pPr>
      <w:r>
        <w:t>Méthodes, outils et gestes professionnels à partir des ancrages pédagogiques suivants : Reporting Financier Automatisé ; Comptabilité Automatisée avec l’IA ; Audit Interne Augmenté par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Audit interne augmenté » et « Prévisions et trésorerie mieux relues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Prévisions Budgétaires Assistées par IA ; Gestion de Trésorerie Intelligente ; Normes IFRS et Automatisation avec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la finance et la comptabilité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Reporting financier automatisé » ; « Pré-clôture et détection d’anomalies » ; « Audit interne augmenté » ; « Prévisions et trésorerie mieux relues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Reporting Financier Automatisé ; Comptabilité Automatisée avec l’IA ; Audit Interne Augmenté par l’IA ; Prévisions Budgétaires Assistées par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Reporting Financier Automatisé</w:t>
      </w:r>
    </w:p>
    <w:p>
      <w:pPr>
        <w:pStyle w:val="ListBullet"/>
        <w:spacing w:after="40"/>
      </w:pPr>
      <w:r>
        <w:t>Comptabilité Automatisée avec l’IA</w:t>
      </w:r>
    </w:p>
    <w:p>
      <w:pPr>
        <w:pStyle w:val="ListBullet"/>
        <w:spacing w:after="40"/>
      </w:pPr>
      <w:r>
        <w:t>Audit Interne Augmenté par l’IA</w:t>
      </w:r>
    </w:p>
    <w:p>
      <w:pPr>
        <w:pStyle w:val="ListBullet"/>
        <w:spacing w:after="40"/>
      </w:pPr>
      <w:r>
        <w:t>Prévisions Budgétaires Assistées par IA</w:t>
      </w:r>
    </w:p>
    <w:p>
      <w:pPr>
        <w:pStyle w:val="ListBullet"/>
        <w:spacing w:after="40"/>
      </w:pPr>
      <w:r>
        <w:t>Gestion de Trésorerie Intelligente</w:t>
      </w:r>
    </w:p>
    <w:p>
      <w:pPr>
        <w:pStyle w:val="ListBullet"/>
        <w:spacing w:after="40"/>
      </w:pPr>
      <w:r>
        <w:t>Normes IFRS et Automatisation avec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