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Formation &amp; Pédagogie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11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Formation &amp; Pédagogie | Contextes proches : Formation professionnelle ; Éducation / Management ; Institution régionale ; Finance / Développement ; Aide humanitaire / Éducation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La vraie promesse ici n’est pas de produire plus de slides. C’est de concevoir plus vite des parcours utiles, mieux adaptés et mieux suivis.</w:t>
      </w:r>
    </w:p>
    <w:p>
      <w:pPr>
        <w:pStyle w:val="ListBullet"/>
        <w:spacing w:after="40"/>
      </w:pPr>
      <w:r>
        <w:t>Conception pédagogique trop lente : Créer modules, quiz, études de cas et supports demande beaucoup de temps expert. Les ingénieries, plans de cours et variations de supports se préparent plus vite.</w:t>
      </w:r>
    </w:p>
    <w:p>
      <w:pPr>
        <w:pStyle w:val="ListBullet"/>
        <w:spacing w:after="40"/>
      </w:pPr>
      <w:r>
        <w:t>Peu de personnalisation des parcours : Les contenus s’adressent à tout le monde de la même manière malgré des besoins très différents. Les parcours gagnent en adaptation selon profils, niveaux et objectifs de cohorte.</w:t>
      </w:r>
    </w:p>
    <w:p>
      <w:pPr>
        <w:pStyle w:val="ListBullet"/>
        <w:spacing w:after="40"/>
      </w:pPr>
      <w:r>
        <w:t>Analyse de cohortes fastidieuse : Les résultats d’apprentissage existent mais restent longs à relire et à interpréter. Les responsables pédagogiques reçoivent des synthèses plus rapides et plus actionnables.</w:t>
      </w:r>
    </w:p>
    <w:p>
      <w:pPr>
        <w:pStyle w:val="ListBullet"/>
        <w:spacing w:after="40"/>
      </w:pPr>
      <w:r>
        <w:t>Production multimédia morcelée : Vidéo, texte, quiz et animation sont produits dans des cycles séparés et lents. Les équipes accélèrent la déclinaison multi-format des contenus pédagogiques.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Formation professionnelle ; Éducation / Management ; Institution régionale ; Finance / Développement ; Aide humanitaire / Éducation.</w:t>
      </w:r>
    </w:p>
    <w:p>
      <w:pPr>
        <w:pStyle w:val="ListBullet"/>
        <w:spacing w:after="40"/>
      </w:pPr>
      <w:r>
        <w:t>Les enjeux confirmés au cadrage doivent être reliés à des priorités visibles pour la formation et la pédagogie.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Conception de modules et cas pratiques</w:t>
      </w:r>
      <w:r>
        <w:t xml:space="preserve"> : Les équipes gagnent une base mieux structurée pour construire modules, séquences et évaluations. KPI de référence : Temps de création d’un module ; délai de mise en cohorte.</w:t>
      </w:r>
    </w:p>
    <w:p>
      <w:pPr>
        <w:pStyle w:val="ListBullet"/>
        <w:spacing w:after="40"/>
      </w:pPr>
      <w:r>
        <w:rPr>
          <w:b/>
        </w:rPr>
        <w:t>Personnalisation des parcours</w:t>
      </w:r>
      <w:r>
        <w:t xml:space="preserve"> : Les exercices, variantes et feedbacks se déclinent plus finement selon les besoins. KPI de référence : Taux de complétion ; taux de réussite.</w:t>
      </w:r>
    </w:p>
    <w:p>
      <w:pPr>
        <w:pStyle w:val="ListBullet"/>
        <w:spacing w:after="40"/>
      </w:pPr>
      <w:r>
        <w:rPr>
          <w:b/>
        </w:rPr>
        <w:t>Tutorat virtuel et assistant apprenant</w:t>
      </w:r>
      <w:r>
        <w:t xml:space="preserve"> : Un assistant encadré répond au premier niveau et oriente vers les bons supports. KPI de référence : Temps de réponse ; satisfaction apprenants.</w:t>
      </w:r>
    </w:p>
    <w:p>
      <w:pPr>
        <w:pStyle w:val="ListBullet"/>
        <w:spacing w:after="40"/>
      </w:pPr>
      <w:r>
        <w:rPr>
          <w:b/>
        </w:rPr>
        <w:t>Reporting pédagogique de cohorte</w:t>
      </w:r>
      <w:r>
        <w:t xml:space="preserve"> : Les responsables pédagogiques relisent plus vite les points faibles, écarts et actions d’amélioration. KPI de référence : Temps de reporting ; nombre d’actions correctives décidées.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Formation &amp; Pédagogie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pédagogiques, responsables académiques, formateurs, ingénierie de formation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40 à 70 % sur la conception (modules, exercices, supports).</w:t>
      </w:r>
    </w:p>
    <w:p>
      <w:pPr>
        <w:pStyle w:val="ListBullet"/>
        <w:spacing w:after="40"/>
      </w:pPr>
      <w:r>
        <w:t>Parcours plus adaptés selon les profils (niveaux, fonctions, cohortes).</w:t>
      </w:r>
    </w:p>
    <w:p>
      <w:pPr>
        <w:pStyle w:val="ListBullet"/>
        <w:spacing w:after="40"/>
      </w:pPr>
      <w:r>
        <w:t>Reporting plus rapide des cohortes (résultats et points faibles).</w:t>
      </w:r>
    </w:p>
    <w:p>
      <w:pPr>
        <w:pStyle w:val="ListBullet"/>
        <w:spacing w:after="40"/>
      </w:pPr>
      <w:r>
        <w:t>Production plus fluide des formats pédagogiques (texte, quiz, vidéo, fiches).</w:t>
      </w:r>
    </w:p>
    <w:p>
      <w:pPr>
        <w:pStyle w:val="ListBullet"/>
        <w:spacing w:after="40"/>
      </w:pPr>
      <w:r>
        <w:t>Une feuille de route claire sur les deux premiers cas d’usage à lancer dans la formation et la pédagogie.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la formation et la pédagogie.</w:t>
      </w:r>
    </w:p>
    <w:p>
      <w:pPr>
        <w:pStyle w:val="ListBullet"/>
        <w:spacing w:after="40"/>
      </w:pPr>
      <w:r>
        <w:t>Savoir structurer et piloter le cas d’usage « Conception de modules et cas pratiques ».</w:t>
      </w:r>
    </w:p>
    <w:p>
      <w:pPr>
        <w:pStyle w:val="ListBullet"/>
        <w:spacing w:after="40"/>
      </w:pPr>
      <w:r>
        <w:t>Savoir structurer et piloter le cas d’usage « Personnalisation des parcours ».</w:t>
      </w:r>
    </w:p>
    <w:p>
      <w:pPr>
        <w:pStyle w:val="ListBullet"/>
        <w:spacing w:after="40"/>
      </w:pPr>
      <w:r>
        <w:t>Savoir structurer et piloter le cas d’usage « Tutorat virtuel et assistant apprenant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La vraie promesse ici n’est pas de produire plus de slides. C’est de concevoir plus vite des parcours utiles, mieux adaptés et mieux suivis.</w:t>
      </w:r>
    </w:p>
    <w:p>
      <w:pPr>
        <w:pStyle w:val="ListBullet"/>
        <w:spacing w:after="40"/>
      </w:pPr>
      <w:r>
        <w:t>Cartographie des priorités métier confirmées : Conception pédagogique trop lente ; Peu de personnalisation des parcours ; Analyse de cohortes fastidieuse.</w:t>
      </w:r>
    </w:p>
    <w:p>
      <w:pPr>
        <w:pStyle w:val="ListBullet"/>
        <w:spacing w:after="40"/>
      </w:pPr>
      <w:r>
        <w:t>Études de cas guidées autour de « Conception de modules et cas pratiques » et « Personnalisation des parcours ».</w:t>
      </w:r>
    </w:p>
    <w:p>
      <w:pPr>
        <w:pStyle w:val="ListBullet"/>
        <w:spacing w:after="40"/>
      </w:pPr>
      <w:r>
        <w:t>Méthodes, outils et gestes professionnels à partir des ancrages pédagogiques suivants : Conception Pédagogique Assistée par IA ; Création de Supports de Formation avec l’IA ; E-learning Adaptatif avec l’IA.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Tutorat virtuel et assistant apprenant » et « Reporting pédagogique de cohorte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Tutorat Virtuel et Assistants IA ; LMS et Plateformes de Formation IA ; Accessibilité et Inclusion avec l’IA.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la formation et la pédagogie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Conception de modules et cas pratiques » ; « Personnalisation des parcours » ; « Tutorat virtuel et assistant apprenant » ; « Reporting pédagogique de cohorte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Conception Pédagogique Assistée par IA ; Création de Supports de Formation avec l’IA ; E-learning Adaptatif avec l’IA ; Tutorat Virtuel et Assistants 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Conception Pédagogique Assistée par IA</w:t>
      </w:r>
    </w:p>
    <w:p>
      <w:pPr>
        <w:pStyle w:val="ListBullet"/>
        <w:spacing w:after="40"/>
      </w:pPr>
      <w:r>
        <w:t>Création de Supports de Formation avec l’IA</w:t>
      </w:r>
    </w:p>
    <w:p>
      <w:pPr>
        <w:pStyle w:val="ListBullet"/>
        <w:spacing w:after="40"/>
      </w:pPr>
      <w:r>
        <w:t>E-learning Adaptatif avec l’IA</w:t>
      </w:r>
    </w:p>
    <w:p>
      <w:pPr>
        <w:pStyle w:val="ListBullet"/>
        <w:spacing w:after="40"/>
      </w:pPr>
      <w:r>
        <w:t>Tutorat Virtuel et Assistants IA</w:t>
      </w:r>
    </w:p>
    <w:p>
      <w:pPr>
        <w:pStyle w:val="ListBullet"/>
        <w:spacing w:after="40"/>
      </w:pPr>
      <w:r>
        <w:t>LMS et Plateformes de Formation IA</w:t>
      </w:r>
    </w:p>
    <w:p>
      <w:pPr>
        <w:pStyle w:val="ListBullet"/>
        <w:spacing w:after="40"/>
      </w:pPr>
      <w:r>
        <w:t>Accessibilité et Inclusion avec l’IA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