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IT &amp; Transformation Digitale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10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IT &amp; Transformation Digitale | Contextes proches : Télécommunications ; Fintech / Mobile Money ; Médias digitaux ; Administration / Numérique ; Inspection / Certification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Le ROI IT est souvent le plus visible lorsqu’on touche aux tickets simples, aux cycles de développement, aux workflows et au support interne.</w:t>
      </w:r>
    </w:p>
    <w:p>
      <w:pPr>
        <w:pStyle w:val="ListBullet"/>
        <w:spacing w:after="40"/>
      </w:pPr>
      <w:r>
        <w:t>Support interne surchargé : Les équipes IT absorbent beaucoup de tickets simples et de demandes documentaires. Une base de connaissances ou un assistant support réduit la charge répétitive et améliore la réactivité.</w:t>
      </w:r>
    </w:p>
    <w:p>
      <w:pPr>
        <w:pStyle w:val="ListBullet"/>
        <w:spacing w:after="40"/>
      </w:pPr>
      <w:r>
        <w:t>Workflows métiers encore manuels : Formulaires, validations, notifications et suivis restent dispersés entre outils et mails. L’automatisation progressive fluidifie les cycles et améliore la traçabilité.</w:t>
      </w:r>
    </w:p>
    <w:p>
      <w:pPr>
        <w:pStyle w:val="ListBullet"/>
        <w:spacing w:after="40"/>
      </w:pPr>
      <w:r>
        <w:t>Développement trop lourd pour de petits besoins : Des mini-portails ou apps internes attendent alors qu’ils pourraient être lancés plus vite. Les approches no-code et IA réduisent le délai entre besoin et premier livrable.</w:t>
      </w:r>
    </w:p>
    <w:p>
      <w:pPr>
        <w:pStyle w:val="ListBullet"/>
        <w:spacing w:after="40"/>
      </w:pPr>
      <w:r>
        <w:t>Gouvernance et architecture floues : Les équipes testent des outils sans toujours cadrer architecture, accès, sécurité et valeur métier. Les usages sont mieux ordonnés entre expérimentation, intégration et gouvernance.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Télécommunications ; Fintech / Mobile Money ; Médias digitaux ; Administration / Numérique ; Inspection / Certification.</w:t>
      </w:r>
    </w:p>
    <w:p>
      <w:pPr>
        <w:pStyle w:val="ListBullet"/>
        <w:spacing w:after="40"/>
      </w:pPr>
      <w:r>
        <w:t>Les enjeux confirmés au cadrage doivent être reliés à des priorités visibles pour l’IT et la transformation digitale.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Base de connaissance et support IT interne</w:t>
      </w:r>
      <w:r>
        <w:t xml:space="preserve"> : Les utilisateurs accèdent plus vite aux bonnes réponses et le support se concentre sur les cas plus complexes. KPI de référence : Volume de tickets évités ; temps moyen de résolution.</w:t>
      </w:r>
    </w:p>
    <w:p>
      <w:pPr>
        <w:pStyle w:val="ListBullet"/>
        <w:spacing w:after="40"/>
      </w:pPr>
      <w:r>
        <w:rPr>
          <w:b/>
        </w:rPr>
        <w:t>Automatisation de workflows métiers</w:t>
      </w:r>
      <w:r>
        <w:t xml:space="preserve"> : Les flux critiques sont reliés, traçables et moins dépendants des relances manuelles. KPI de référence : Temps de cycle ; nombre d’étapes automatisées.</w:t>
      </w:r>
    </w:p>
    <w:p>
      <w:pPr>
        <w:pStyle w:val="ListBullet"/>
        <w:spacing w:after="40"/>
      </w:pPr>
      <w:r>
        <w:rPr>
          <w:b/>
        </w:rPr>
        <w:t>Mini-portails et outils internes</w:t>
      </w:r>
      <w:r>
        <w:t xml:space="preserve"> : Des interfaces utiles sont mises en circulation plus vite pour les équipes métier. KPI de référence : Délai de déploiement ; adoption utilisateur.</w:t>
      </w:r>
    </w:p>
    <w:p>
      <w:pPr>
        <w:pStyle w:val="ListBullet"/>
        <w:spacing w:after="40"/>
      </w:pPr>
      <w:r>
        <w:rPr>
          <w:b/>
        </w:rPr>
        <w:t>Architecture et gouvernance IA</w:t>
      </w:r>
      <w:r>
        <w:t xml:space="preserve"> : La DSI pose un cadre plus lisible pour les usages autorisés et les priorités d’intégration. KPI de référence : Temps de cadrage ; nombre d’usages gouvernés.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IT &amp; Transformation Digitale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DSI, transformation digitale, PMO, équipes produit, support et gouvernance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Moins de tickets simples pour le support interne (FAQ, documentation, incidents récurrents).</w:t>
      </w:r>
    </w:p>
    <w:p>
      <w:pPr>
        <w:pStyle w:val="ListBullet"/>
        <w:spacing w:after="40"/>
      </w:pPr>
      <w:r>
        <w:t>Cycles plus courts sur les workflows (validation, reporting, notifications).</w:t>
      </w:r>
    </w:p>
    <w:p>
      <w:pPr>
        <w:pStyle w:val="ListBullet"/>
        <w:spacing w:after="40"/>
      </w:pPr>
      <w:r>
        <w:t>Déploiement plus rapide de mini-apps utiles (sans projet lourd).</w:t>
      </w:r>
    </w:p>
    <w:p>
      <w:pPr>
        <w:pStyle w:val="ListBullet"/>
        <w:spacing w:after="40"/>
      </w:pPr>
      <w:r>
        <w:t>Gouvernance plus nette sur les usages IA (architecture, accès, sécurité).</w:t>
      </w:r>
    </w:p>
    <w:p>
      <w:pPr>
        <w:pStyle w:val="ListBullet"/>
        <w:spacing w:after="40"/>
      </w:pPr>
      <w:r>
        <w:t>Une feuille de route claire sur les deux premiers cas d’usage à lancer dans l’IT et la transformation digitale.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l’IT et la transformation digitale.</w:t>
      </w:r>
    </w:p>
    <w:p>
      <w:pPr>
        <w:pStyle w:val="ListBullet"/>
        <w:spacing w:after="40"/>
      </w:pPr>
      <w:r>
        <w:t>Savoir structurer et piloter le cas d’usage « Base de connaissance et support IT interne ».</w:t>
      </w:r>
    </w:p>
    <w:p>
      <w:pPr>
        <w:pStyle w:val="ListBullet"/>
        <w:spacing w:after="40"/>
      </w:pPr>
      <w:r>
        <w:t>Savoir structurer et piloter le cas d’usage « Automatisation de workflows métiers ».</w:t>
      </w:r>
    </w:p>
    <w:p>
      <w:pPr>
        <w:pStyle w:val="ListBullet"/>
        <w:spacing w:after="40"/>
      </w:pPr>
      <w:r>
        <w:t>Savoir structurer et piloter le cas d’usage « Mini-portails et outils internes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Le ROI IT est souvent le plus visible lorsqu’on touche aux tickets simples, aux cycles de développement, aux workflows et au support interne.</w:t>
      </w:r>
    </w:p>
    <w:p>
      <w:pPr>
        <w:pStyle w:val="ListBullet"/>
        <w:spacing w:after="40"/>
      </w:pPr>
      <w:r>
        <w:t>Cartographie des priorités métier confirmées : Support interne surchargé ; Workflows métiers encore manuels ; Développement trop lourd pour de petits besoins.</w:t>
      </w:r>
    </w:p>
    <w:p>
      <w:pPr>
        <w:pStyle w:val="ListBullet"/>
        <w:spacing w:after="40"/>
      </w:pPr>
      <w:r>
        <w:t>Études de cas guidées autour de « Base de connaissance et support IT interne » et « Automatisation de workflows métiers ».</w:t>
      </w:r>
    </w:p>
    <w:p>
      <w:pPr>
        <w:pStyle w:val="ListBullet"/>
        <w:spacing w:after="40"/>
      </w:pPr>
      <w:r>
        <w:t>Méthodes, outils et gestes professionnels à partir des ancrages pédagogiques suivants : Intégration d’Outils IA en Entreprise ; APIs et Intégration de Services IA ; Automatisation IT avec l’IA (DevOps).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Mini-portails et outils internes » et « Architecture et gouvernance IA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No-Code et IA : Développer sans Coder ; Architecture de Solutions IA ; Gouvernance IT et Stratégie 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l’IT et la transformation digitale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Base de connaissance et support IT interne » ; « Automatisation de workflows métiers » ; « Mini-portails et outils internes » ; « Architecture et gouvernance IA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Intégration d’Outils IA en Entreprise ; APIs et Intégration de Services IA ; Automatisation IT avec l’IA (DevOps) ; No-Code et IA : Développer sans Coder.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Intégration d’Outils IA en Entreprise</w:t>
      </w:r>
    </w:p>
    <w:p>
      <w:pPr>
        <w:pStyle w:val="ListBullet"/>
        <w:spacing w:after="40"/>
      </w:pPr>
      <w:r>
        <w:t>APIs et Intégration de Services IA</w:t>
      </w:r>
    </w:p>
    <w:p>
      <w:pPr>
        <w:pStyle w:val="ListBullet"/>
        <w:spacing w:after="40"/>
      </w:pPr>
      <w:r>
        <w:t>Automatisation IT avec l’IA (DevOps)</w:t>
      </w:r>
    </w:p>
    <w:p>
      <w:pPr>
        <w:pStyle w:val="ListBullet"/>
        <w:spacing w:after="40"/>
      </w:pPr>
      <w:r>
        <w:t>No-Code et IA : Développer sans Coder</w:t>
      </w:r>
    </w:p>
    <w:p>
      <w:pPr>
        <w:pStyle w:val="ListBullet"/>
        <w:spacing w:after="40"/>
      </w:pPr>
      <w:r>
        <w:t>Architecture de Solutions IA</w:t>
      </w:r>
    </w:p>
    <w:p>
      <w:pPr>
        <w:pStyle w:val="ListBullet"/>
        <w:spacing w:after="40"/>
      </w:pPr>
      <w:r>
        <w:t>Gouvernance IT et Stratégie 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