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  <w:pBdr>
          <w:bottom w:val="single" w:sz="8" w:space="1" w:color="D9E2F2"/>
        </w:pBdr>
      </w:pPr>
      <w:r>
        <w:t>TransferAI - Mini catalogue premium Juridique &amp; Conformité</w:t>
      </w:r>
    </w:p>
    <w:p>
      <w:pPr>
        <w:pStyle w:val="Subtitle"/>
        <w:spacing w:after="280"/>
        <w:jc w:val="center"/>
      </w:pPr>
      <w:r>
        <w:t>Catalogue ciblé par secteur | Formule prioritaire sur mesure | Édition du 2026-06-12 · Ce document est conçu pour des prospects de même univers métier. Il peut être adapté à une organisation précise après audit IA gratuit et échange expert de qualification.</w:t>
      </w:r>
    </w:p>
    <w:p>
      <w:pPr>
        <w:pStyle w:val="Heading1"/>
        <w:spacing w:before="200" w:after="60"/>
      </w:pPr>
      <w:r>
        <w:t>Fiche sectorielle 05 / 16</w:t>
      </w:r>
    </w:p>
    <w:p>
      <w:pPr>
        <w:pStyle w:val="Heading2"/>
        <w:spacing w:before="120" w:after="60"/>
      </w:pPr>
      <w:r>
        <w:t>Domaine de référence</w:t>
      </w:r>
    </w:p>
    <w:p>
      <w:pPr>
        <w:pStyle w:val="ListBullet"/>
        <w:spacing w:after="40"/>
      </w:pPr>
      <w:r>
        <w:t>Juridique &amp; Conformité | Contextes proches : Banque / Finance ; Assurance ; Inspection / Certification ; Administration publique ; Énergie / Pétrole &amp; Gaz</w:t>
      </w:r>
    </w:p>
    <w:p>
      <w:pPr>
        <w:pStyle w:val="Heading2"/>
        <w:spacing w:before="120" w:after="60"/>
      </w:pPr>
      <w:r>
        <w:t>Enjeux sectoriels</w:t>
      </w:r>
    </w:p>
    <w:p>
      <w:pPr>
        <w:pStyle w:val="ListBullet"/>
        <w:spacing w:after="40"/>
      </w:pPr>
      <w:r>
        <w:t>Dans ce domaine, la bonne promesse n’est pas l’automatisation aveugle du jugement juridique. La vraie valeur est dans la préparation, la revue, la veille et la traçabilité.</w:t>
      </w:r>
    </w:p>
    <w:p>
      <w:pPr>
        <w:pStyle w:val="ListBullet"/>
        <w:spacing w:after="40"/>
      </w:pPr>
      <w:r>
        <w:t>Recherche et veille trop lentes : Les équipes passent du temps à consolider jurisprudence, textes, clauses et repères sectoriels. La recherche préparatoire devient plus rapide, plus structurée et plus facile à partager avant revue experte.</w:t>
      </w:r>
    </w:p>
    <w:p>
      <w:pPr>
        <w:pStyle w:val="ListBullet"/>
        <w:spacing w:after="40"/>
      </w:pPr>
      <w:r>
        <w:t>Analyse contractuelle répétitive : La revue de contrats ou pièces comparables mobilise des efforts importants sur des points récurrents. Les premières synthèses et repérages d’écarts accélèrent le travail des juristes et compliance officers.</w:t>
      </w:r>
    </w:p>
    <w:p>
      <w:pPr>
        <w:pStyle w:val="ListBullet"/>
        <w:spacing w:after="40"/>
      </w:pPr>
      <w:r>
        <w:t>Conformité documentaire diffuse : Les équipes peinent à maintenir des réponses homogènes sur données, KYC, AML ou procédures. Des bases de référence et routines de contrôle rendent le cadre plus lisible et plus stable.</w:t>
      </w:r>
    </w:p>
    <w:p>
      <w:pPr>
        <w:pStyle w:val="ListBullet"/>
        <w:spacing w:after="40"/>
      </w:pPr>
      <w:r>
        <w:t>Pression sur les délais de préparation : Comités, dossiers, contentieux et due diligence demandent des synthèses rapides mais exigeantes. L’IA prépare une première matière mieux structurée, relue ensuite par les responsables compétents.</w:t>
      </w:r>
    </w:p>
    <w:p>
      <w:pPr>
        <w:pStyle w:val="Heading2"/>
        <w:spacing w:before="120" w:after="60"/>
      </w:pPr>
      <w:r>
        <w:t>Contexte secteur à confirmer</w:t>
      </w:r>
    </w:p>
    <w:p>
      <w:pPr>
        <w:pStyle w:val="ListBullet"/>
        <w:spacing w:after="40"/>
      </w:pPr>
      <w:r>
        <w:t>Exemples de contextes proches : Banque / Finance ; Assurance ; Inspection / Certification ; Administration publique ; Énergie / Pétrole &amp; Gaz.</w:t>
      </w:r>
    </w:p>
    <w:p>
      <w:pPr>
        <w:pStyle w:val="ListBullet"/>
        <w:spacing w:after="40"/>
      </w:pPr>
      <w:r>
        <w:t>Les enjeux confirmés au cadrage doivent être reliés à des priorités visibles pour le juridique et la conformité.</w:t>
      </w:r>
    </w:p>
    <w:p>
      <w:pPr>
        <w:pStyle w:val="ListBullet"/>
        <w:spacing w:after="40"/>
      </w:pPr>
      <w:r>
        <w:t>Le périmètre à confirmer peut concerner un site pilote, une direction donnée, une équipe support ou un processus transverse.</w:t>
      </w:r>
    </w:p>
    <w:p>
      <w:pPr>
        <w:pStyle w:val="ListBullet"/>
        <w:spacing w:after="40"/>
      </w:pPr>
      <w:r>
        <w:t>Les cas d’usage retenus doivent être validés selon les données disponibles, les règles de confidentialité et la capacité de supervision humaine.</w:t>
      </w:r>
    </w:p>
    <w:p>
      <w:pPr>
        <w:pStyle w:val="Heading2"/>
        <w:spacing w:before="120" w:after="60"/>
      </w:pPr>
      <w:r>
        <w:t>Cas d’usage TransferAI mis en avant</w:t>
      </w:r>
    </w:p>
    <w:p>
      <w:pPr>
        <w:pStyle w:val="ListBullet"/>
        <w:spacing w:after="40"/>
      </w:pPr>
      <w:r>
        <w:rPr>
          <w:b/>
        </w:rPr>
        <w:t>Recherche juridique assistée</w:t>
      </w:r>
      <w:r>
        <w:t xml:space="preserve"> : Les juristes reçoivent une base de lecture plus structurée pour accélérer la phase de préparation. KPI de référence : Temps de préparation d’une note ; délai de réponse interne.</w:t>
      </w:r>
    </w:p>
    <w:p>
      <w:pPr>
        <w:pStyle w:val="ListBullet"/>
        <w:spacing w:after="40"/>
      </w:pPr>
      <w:r>
        <w:rPr>
          <w:b/>
        </w:rPr>
        <w:t>Analyse de contrats et écarts</w:t>
      </w:r>
      <w:r>
        <w:t xml:space="preserve"> : Les clauses sensibles, incohérences et points de vigilance ressortent plus vite avant arbitrage humain. KPI de référence : Temps de revue ; nombre d’écarts repérés tôt.</w:t>
      </w:r>
    </w:p>
    <w:p>
      <w:pPr>
        <w:pStyle w:val="ListBullet"/>
        <w:spacing w:after="40"/>
      </w:pPr>
      <w:r>
        <w:rPr>
          <w:b/>
        </w:rPr>
        <w:t>Conformité en matière de données et de procédures</w:t>
      </w:r>
      <w:r>
        <w:t xml:space="preserve"> : Une base de référence et des checklists outillent mieux les équipes au quotidien. KPI de référence : Temps de réponse ; homogénéité des avis et procédures.</w:t>
      </w:r>
    </w:p>
    <w:p>
      <w:pPr>
        <w:pStyle w:val="ListBullet"/>
        <w:spacing w:after="40"/>
      </w:pPr>
      <w:r>
        <w:rPr>
          <w:b/>
        </w:rPr>
        <w:t>Due diligence et comités</w:t>
      </w:r>
      <w:r>
        <w:t xml:space="preserve"> : Les dossiers deviennent plus lisibles, plus rapides à assembler et plus simples à challenger. KPI de référence : Temps de préparation dossier ; délai avant comité.</w:t>
      </w:r>
    </w:p>
    <w:p>
      <w:pPr>
        <w:pStyle w:val="Heading1"/>
        <w:spacing w:before="200" w:after="60"/>
      </w:pPr>
      <w:r>
        <w:t>Formule prioritaire recommandée</w:t>
      </w:r>
    </w:p>
    <w:p>
      <w:pPr>
        <w:pStyle w:val="Heading2"/>
        <w:spacing w:before="120" w:after="60"/>
      </w:pPr>
      <w:r>
        <w:t>Intitulé</w:t>
      </w:r>
    </w:p>
    <w:p>
      <w:pPr>
        <w:pStyle w:val="ListBullet"/>
        <w:spacing w:after="40"/>
      </w:pPr>
      <w:r>
        <w:t>Bootcamp IA sectoriel Juridique &amp; Conformité : de l’acculturation utile au premier pilote mesurable</w:t>
      </w:r>
    </w:p>
    <w:p>
      <w:pPr>
        <w:pStyle w:val="Heading2"/>
        <w:spacing w:before="120" w:after="60"/>
      </w:pPr>
      <w:r>
        <w:t>Public cible</w:t>
      </w:r>
    </w:p>
    <w:p>
      <w:pPr>
        <w:pStyle w:val="ListBullet"/>
        <w:spacing w:after="40"/>
      </w:pPr>
      <w:r>
        <w:t>Directions juridiques, conformité, secrétariat général, audit, risques</w:t>
      </w:r>
    </w:p>
    <w:p>
      <w:pPr>
        <w:pStyle w:val="Heading2"/>
        <w:spacing w:before="120" w:after="60"/>
      </w:pPr>
      <w:r>
        <w:t>Formats possibles</w:t>
      </w:r>
    </w:p>
    <w:p>
      <w:pPr>
        <w:pStyle w:val="ListBullet"/>
        <w:spacing w:after="40"/>
      </w:pPr>
      <w:r>
        <w:t>Présentiel</w:t>
      </w:r>
    </w:p>
    <w:p>
      <w:pPr>
        <w:pStyle w:val="ListBullet"/>
        <w:spacing w:after="40"/>
      </w:pPr>
      <w:r>
        <w:t>Hybride</w:t>
      </w:r>
    </w:p>
    <w:p>
      <w:pPr>
        <w:pStyle w:val="ListBullet"/>
        <w:spacing w:after="40"/>
      </w:pPr>
      <w:r>
        <w:t>En ligne (style webinaire)</w:t>
      </w:r>
    </w:p>
    <w:p>
      <w:pPr>
        <w:pStyle w:val="Heading2"/>
        <w:spacing w:before="120" w:after="60"/>
      </w:pPr>
      <w:r>
        <w:t>Niveaux</w:t>
      </w:r>
    </w:p>
    <w:p>
      <w:pPr>
        <w:pStyle w:val="ListBullet"/>
        <w:spacing w:after="40"/>
      </w:pPr>
      <w:r>
        <w:t>Débutant</w:t>
      </w:r>
    </w:p>
    <w:p>
      <w:pPr>
        <w:pStyle w:val="ListBullet"/>
        <w:spacing w:after="40"/>
      </w:pPr>
      <w:r>
        <w:t>Intermédiaire</w:t>
      </w:r>
    </w:p>
    <w:p>
      <w:pPr>
        <w:pStyle w:val="ListBullet"/>
        <w:spacing w:after="40"/>
      </w:pPr>
      <w:r>
        <w:t>Avancé</w:t>
      </w:r>
    </w:p>
    <w:p>
      <w:pPr>
        <w:pStyle w:val="Heading2"/>
        <w:spacing w:before="120" w:after="60"/>
      </w:pPr>
      <w:r>
        <w:t>Durée</w:t>
      </w:r>
    </w:p>
    <w:p>
      <w:pPr>
        <w:pStyle w:val="ListBullet"/>
        <w:spacing w:after="40"/>
      </w:pPr>
      <w:r>
        <w:t>1 jour : version décideurs et managers</w:t>
      </w:r>
    </w:p>
    <w:p>
      <w:pPr>
        <w:pStyle w:val="ListBullet"/>
        <w:spacing w:after="40"/>
      </w:pPr>
      <w:r>
        <w:t>2 jours : version équipes, managers et mise en pratique</w:t>
      </w:r>
    </w:p>
    <w:p>
      <w:pPr>
        <w:pStyle w:val="Heading2"/>
        <w:spacing w:before="120" w:after="60"/>
      </w:pPr>
      <w:r>
        <w:t>Tarif</w:t>
      </w:r>
    </w:p>
    <w:p>
      <w:pPr>
        <w:pStyle w:val="ListBullet"/>
        <w:spacing w:after="40"/>
      </w:pPr>
      <w:r>
        <w:t>Prix sur demande</w:t>
      </w:r>
    </w:p>
    <w:p>
      <w:pPr>
        <w:pStyle w:val="Heading2"/>
        <w:spacing w:before="120" w:after="60"/>
      </w:pPr>
      <w:r>
        <w:t>Résultats attendus</w:t>
      </w:r>
    </w:p>
    <w:p>
      <w:pPr>
        <w:pStyle w:val="ListBullet"/>
        <w:spacing w:after="40"/>
      </w:pPr>
      <w:r>
        <w:t>30 à 50 % sur la préparation documentaire (veille, revue, synthèse).</w:t>
      </w:r>
    </w:p>
    <w:p>
      <w:pPr>
        <w:pStyle w:val="ListBullet"/>
        <w:spacing w:after="40"/>
      </w:pPr>
      <w:r>
        <w:t>Revue plus homogène des contrats et pièces (checklists et écarts).</w:t>
      </w:r>
    </w:p>
    <w:p>
      <w:pPr>
        <w:pStyle w:val="ListBullet"/>
        <w:spacing w:after="40"/>
      </w:pPr>
      <w:r>
        <w:t>Réactivité accrue sur conformité et comité (notes plus rapides à préparer).</w:t>
      </w:r>
    </w:p>
    <w:p>
      <w:pPr>
        <w:pStyle w:val="ListBullet"/>
        <w:spacing w:after="40"/>
      </w:pPr>
      <w:r>
        <w:t>Moins de dispersion sur les standards (données, AML, clauses, procédures).</w:t>
      </w:r>
    </w:p>
    <w:p>
      <w:pPr>
        <w:pStyle w:val="ListBullet"/>
        <w:spacing w:after="40"/>
      </w:pPr>
      <w:r>
        <w:t>Une feuille de route claire sur les deux premiers cas d’usage à lancer dans le juridique et la conformité.</w:t>
      </w:r>
    </w:p>
    <w:p>
      <w:pPr>
        <w:pStyle w:val="ListBullet"/>
        <w:spacing w:after="40"/>
      </w:pPr>
      <w:r>
        <w:t>Une meilleure capacité à relier formation, gouvernance, pilote et retour sur investissement visible.</w:t>
      </w:r>
    </w:p>
    <w:p>
      <w:pPr>
        <w:pStyle w:val="Heading2"/>
        <w:spacing w:before="120" w:after="60"/>
      </w:pPr>
      <w:r>
        <w:t>Objectifs pédagogiques</w:t>
      </w:r>
    </w:p>
    <w:p>
      <w:pPr>
        <w:pStyle w:val="ListBullet"/>
        <w:spacing w:after="40"/>
      </w:pPr>
      <w:r>
        <w:t>Identifier les priorités métier les plus crédibles à traiter par l’IA dans le juridique et la conformité.</w:t>
      </w:r>
    </w:p>
    <w:p>
      <w:pPr>
        <w:pStyle w:val="ListBullet"/>
        <w:spacing w:after="40"/>
      </w:pPr>
      <w:r>
        <w:t>Savoir structurer et piloter le cas d’usage « Recherche juridique assistée ».</w:t>
      </w:r>
    </w:p>
    <w:p>
      <w:pPr>
        <w:pStyle w:val="ListBullet"/>
        <w:spacing w:after="40"/>
      </w:pPr>
      <w:r>
        <w:t>Savoir structurer et piloter le cas d’usage « Analyse de contrats et écarts ».</w:t>
      </w:r>
    </w:p>
    <w:p>
      <w:pPr>
        <w:pStyle w:val="ListBullet"/>
        <w:spacing w:after="40"/>
      </w:pPr>
      <w:r>
        <w:t>Savoir structurer et piloter le cas d’usage « Conformité en matière de données et de procédures ».</w:t>
      </w:r>
    </w:p>
    <w:p>
      <w:pPr>
        <w:pStyle w:val="ListBullet"/>
        <w:spacing w:after="40"/>
      </w:pPr>
      <w:r>
        <w:t>Distinguer les usages immédiatement activables, les usages à encadrer et les usages à piloter dans le temps.</w:t>
      </w:r>
    </w:p>
    <w:p>
      <w:pPr>
        <w:pStyle w:val="ListBullet"/>
        <w:spacing w:after="40"/>
      </w:pPr>
      <w:r>
        <w:t>Définir des KPI simples, un cadre de confiance et un premier plan d’action à 90 jours.</w:t>
      </w:r>
    </w:p>
    <w:p>
      <w:pPr>
        <w:pStyle w:val="Heading2"/>
        <w:spacing w:before="120" w:after="60"/>
      </w:pPr>
      <w:r>
        <w:t>Programme</w:t>
      </w:r>
    </w:p>
    <w:p>
      <w:pPr>
        <w:pStyle w:val="Heading3"/>
        <w:spacing w:before="120" w:after="60"/>
      </w:pPr>
      <w:r>
        <w:t>Jour 1</w:t>
      </w:r>
    </w:p>
    <w:p>
      <w:pPr>
        <w:pStyle w:val="ListBullet"/>
        <w:spacing w:after="40"/>
      </w:pPr>
      <w:r>
        <w:t>Lecture des enjeux sectoriels : Dans ce domaine, la bonne promesse n’est pas l’automatisation aveugle du jugement juridique. La vraie valeur est dans la préparation, la revue, la veille et la traçabilité.</w:t>
      </w:r>
    </w:p>
    <w:p>
      <w:pPr>
        <w:pStyle w:val="ListBullet"/>
        <w:spacing w:after="40"/>
      </w:pPr>
      <w:r>
        <w:t>Cartographie des priorités métier confirmées : Recherche et veille trop lentes ; Analyse contractuelle répétitive ; Conformité documentaire diffuse.</w:t>
      </w:r>
    </w:p>
    <w:p>
      <w:pPr>
        <w:pStyle w:val="ListBullet"/>
        <w:spacing w:after="40"/>
      </w:pPr>
      <w:r>
        <w:t>Études de cas guidées autour de « Recherche juridique assistée » et « Analyse de contrats et écarts ».</w:t>
      </w:r>
    </w:p>
    <w:p>
      <w:pPr>
        <w:pStyle w:val="ListBullet"/>
        <w:spacing w:after="40"/>
      </w:pPr>
      <w:r>
        <w:t>Méthodes, outils et gestes professionnels à partir des ancrages pédagogiques suivants : Recherche Juridique Assistée par IA ; Analyse de Contrats avec l’IA ; Rédaction Juridique Assistée par l’IA.</w:t>
      </w:r>
    </w:p>
    <w:p>
      <w:pPr>
        <w:pStyle w:val="ListBullet"/>
        <w:spacing w:after="40"/>
      </w:pPr>
      <w:r>
        <w:t>Cadre de confiance : confidentialité, supervision humaine, validation managériale et critères d’extension.</w:t>
      </w:r>
    </w:p>
    <w:p>
      <w:pPr>
        <w:pStyle w:val="Heading3"/>
        <w:spacing w:before="120" w:after="60"/>
      </w:pPr>
      <w:r>
        <w:t>Jour 2</w:t>
      </w:r>
    </w:p>
    <w:p>
      <w:pPr>
        <w:pStyle w:val="ListBullet"/>
        <w:spacing w:after="40"/>
      </w:pPr>
      <w:r>
        <w:t>Cette journée s’active lorsque la formule 2 jours est retenue.</w:t>
      </w:r>
    </w:p>
    <w:p>
      <w:pPr>
        <w:pStyle w:val="ListBullet"/>
        <w:spacing w:after="40"/>
      </w:pPr>
      <w:r>
        <w:t>Ateliers de conception sur « Conformité en matière de données et de procédures » et « Due diligence et comités ».</w:t>
      </w:r>
    </w:p>
    <w:p>
      <w:pPr>
        <w:pStyle w:val="ListBullet"/>
        <w:spacing w:after="40"/>
      </w:pPr>
      <w:r>
        <w:t>Construction de prompts, trames, routines et scénarios d’usage adaptés au terrain.</w:t>
      </w:r>
    </w:p>
    <w:p>
      <w:pPr>
        <w:pStyle w:val="ListBullet"/>
        <w:spacing w:after="40"/>
      </w:pPr>
      <w:r>
        <w:t>Approfondissements recommandés : RGPD et Protection des Données avec l’IA ; Conformité Anti-Blanchiment et IA ; Due Diligence Augmentée par l’IA.</w:t>
      </w:r>
    </w:p>
    <w:p>
      <w:pPr>
        <w:pStyle w:val="ListBullet"/>
        <w:spacing w:after="40"/>
      </w:pPr>
      <w:r>
        <w:t>Définition du premier pilote, des livrables attendus et des KPI de suivi.</w:t>
      </w:r>
    </w:p>
    <w:p>
      <w:pPr>
        <w:pStyle w:val="ListBullet"/>
        <w:spacing w:after="40"/>
      </w:pPr>
      <w:r>
        <w:t>Plan d’action à 90 jours : séquencement, populations à former, gouvernance et arbitrages de déploiement.</w:t>
      </w:r>
    </w:p>
    <w:p>
      <w:pPr>
        <w:pStyle w:val="Heading2"/>
        <w:spacing w:before="120" w:after="60"/>
      </w:pPr>
      <w:r>
        <w:t>Livrables / attendus</w:t>
      </w:r>
    </w:p>
    <w:p>
      <w:pPr>
        <w:pStyle w:val="ListBullet"/>
        <w:spacing w:after="40"/>
      </w:pPr>
      <w:r>
        <w:t>Une note de cadrage sectorielle pour le juridique et la conformité avec priorités confirmées, risques et premières décisions.</w:t>
      </w:r>
    </w:p>
    <w:p>
      <w:pPr>
        <w:pStyle w:val="ListBullet"/>
        <w:spacing w:after="40"/>
      </w:pPr>
      <w:r>
        <w:t>Une matrice des cas d’usage prioritaires incluant « Recherche juridique assistée » ; « Analyse de contrats et écarts » ; « Conformité en matière de données et de procédures » ; « Due diligence et comités ».</w:t>
      </w:r>
    </w:p>
    <w:p>
      <w:pPr>
        <w:pStyle w:val="ListBullet"/>
        <w:spacing w:after="40"/>
      </w:pPr>
      <w:r>
        <w:t>Un canevas de pilote à 90 jours avec KPI, rôles, supervision et critères de succès.</w:t>
      </w:r>
    </w:p>
    <w:p>
      <w:pPr>
        <w:pStyle w:val="ListBullet"/>
        <w:spacing w:after="40"/>
      </w:pPr>
      <w:r>
        <w:t>Une recommandation de parcours de montée en compétences à partir de : Recherche Juridique Assistée par IA ; Analyse de Contrats avec l’IA ; Rédaction Juridique Assistée par l’IA ; RGPD et Protection des Données avec l’IA.</w:t>
      </w:r>
    </w:p>
    <w:p>
      <w:pPr>
        <w:pStyle w:val="Heading2"/>
        <w:spacing w:before="120" w:after="60"/>
      </w:pPr>
      <w:r>
        <w:t>Ancrages pédagogiques recommandés</w:t>
      </w:r>
    </w:p>
    <w:p>
      <w:pPr>
        <w:pStyle w:val="ListBullet"/>
        <w:spacing w:after="40"/>
      </w:pPr>
      <w:r>
        <w:t>Recherche Juridique Assistée par IA</w:t>
      </w:r>
    </w:p>
    <w:p>
      <w:pPr>
        <w:pStyle w:val="ListBullet"/>
        <w:spacing w:after="40"/>
      </w:pPr>
      <w:r>
        <w:t>Analyse de Contrats avec l’IA</w:t>
      </w:r>
    </w:p>
    <w:p>
      <w:pPr>
        <w:pStyle w:val="ListBullet"/>
        <w:spacing w:after="40"/>
      </w:pPr>
      <w:r>
        <w:t>Rédaction Juridique Assistée par l’IA</w:t>
      </w:r>
    </w:p>
    <w:p>
      <w:pPr>
        <w:pStyle w:val="ListBullet"/>
        <w:spacing w:after="40"/>
      </w:pPr>
      <w:r>
        <w:t>RGPD et Protection des Données avec l’IA</w:t>
      </w:r>
    </w:p>
    <w:p>
      <w:pPr>
        <w:pStyle w:val="ListBullet"/>
        <w:spacing w:after="40"/>
      </w:pPr>
      <w:r>
        <w:t>Conformité Anti-Blanchiment et IA</w:t>
      </w:r>
    </w:p>
    <w:p>
      <w:pPr>
        <w:pStyle w:val="ListBullet"/>
        <w:spacing w:after="40"/>
      </w:pPr>
      <w:r>
        <w:t>Due Diligence Augmentée par l’IA</w:t>
      </w:r>
    </w:p>
    <w:p>
      <w:pPr>
        <w:pStyle w:val="Heading2"/>
        <w:spacing w:before="120" w:after="60"/>
      </w:pPr>
      <w:r>
        <w:t>Mention de personnalisation</w:t>
      </w:r>
    </w:p>
    <w:p>
      <w:pPr>
        <w:pStyle w:val="ListBullet"/>
        <w:spacing w:after="40"/>
      </w:pPr>
      <w:r>
        <w:t>Le contenu final est ajusté après qualification du contexte, des outils déjà utilisés, des données disponibles et des arbitrages de confidentialité propres au prospect.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E5D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B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