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Management &amp; Leadership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09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Management &amp; Leadership | Contextes proches : Banque / Finance ; Télécommunications ; Assurance ; Agro-industrie / Cacao ; Institution régionale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Le point central ici n’est pas la technologie seule. C’est la capacité du management à choisir les bons terrains, à cadrer les usages et à transformer l’intention en exécution.</w:t>
      </w:r>
    </w:p>
    <w:p>
      <w:pPr>
        <w:pStyle w:val="ListBullet"/>
        <w:spacing w:after="40"/>
      </w:pPr>
      <w:r>
        <w:t>Décideurs exposés mais peu outillés : Les dirigeants voient l’IA partout sans toujours disposer d’une grille claire pour arbitrer. La direction gagne un cadre de lecture concret : priorités, risques, équipes, gouvernance et séquencement.</w:t>
      </w:r>
    </w:p>
    <w:p>
      <w:pPr>
        <w:pStyle w:val="ListBullet"/>
        <w:spacing w:after="40"/>
      </w:pPr>
      <w:r>
        <w:t>Transformation mal ordonnée : Les idées d’usage se multiplient mais sans ordre clair entre quick wins, pilotes et chantiers plus lourds. Les sponsors hiérarchisent mieux les décisions et évitent la dispersion.</w:t>
      </w:r>
    </w:p>
    <w:p>
      <w:pPr>
        <w:pStyle w:val="ListBullet"/>
        <w:spacing w:after="40"/>
      </w:pPr>
      <w:r>
        <w:t>Culture et conduite du changement insuffisantes : Les équipes oscillent entre peur, surpromesse et expérimentations isolées. Le discours managérial devient plus crédible, plus rassurant et plus orienté résultat.</w:t>
      </w:r>
    </w:p>
    <w:p>
      <w:pPr>
        <w:pStyle w:val="ListBullet"/>
        <w:spacing w:after="40"/>
      </w:pPr>
      <w:r>
        <w:t>Peu de lecture des KPI d’adoption : Les projets avancent sans véritable mesure de l’usage réel ni des gains observables. Les décideurs relisent plus tôt les premiers signaux pour ajuster la suite.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Banque / Finance ; Télécommunications ; Assurance ; Agro-industrie / Cacao ; Institution régionale.</w:t>
      </w:r>
    </w:p>
    <w:p>
      <w:pPr>
        <w:pStyle w:val="ListBullet"/>
        <w:spacing w:after="40"/>
      </w:pPr>
      <w:r>
        <w:t>Les enjeux confirmés au cadrage doivent être reliés à des priorités visibles pour le management et le leadership.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Briefing dirigeant et grille d’arbitrage</w:t>
      </w:r>
      <w:r>
        <w:t xml:space="preserve"> : Les sponsors disposent d’une grille de décision plus concrète pour choisir où démarrer et comment gouverner. KPI de référence : Délai de décision ; nombre de priorités clarifiées.</w:t>
      </w:r>
    </w:p>
    <w:p>
      <w:pPr>
        <w:pStyle w:val="ListBullet"/>
        <w:spacing w:after="40"/>
      </w:pPr>
      <w:r>
        <w:rPr>
          <w:b/>
        </w:rPr>
        <w:t>Conduite du changement et culture IA</w:t>
      </w:r>
      <w:r>
        <w:t xml:space="preserve"> : Le management pose un langage commun, des règles simples et des gestes utiles. KPI de référence : Taux de participation ; niveau d’adhésion des managers.</w:t>
      </w:r>
    </w:p>
    <w:p>
      <w:pPr>
        <w:pStyle w:val="ListBullet"/>
        <w:spacing w:after="40"/>
      </w:pPr>
      <w:r>
        <w:rPr>
          <w:b/>
        </w:rPr>
        <w:t>Leadership data-driven</w:t>
      </w:r>
      <w:r>
        <w:t xml:space="preserve"> : Les décisions s’appuient davantage sur des synthèses et commentaires plus actionnables. KPI de référence : Temps de lecture des KPI ; délai avant arbitrage.</w:t>
      </w:r>
    </w:p>
    <w:p>
      <w:pPr>
        <w:pStyle w:val="ListBullet"/>
        <w:spacing w:after="40"/>
      </w:pPr>
      <w:r>
        <w:rPr>
          <w:b/>
        </w:rPr>
        <w:t>Planification stratégique assistée</w:t>
      </w:r>
      <w:r>
        <w:t xml:space="preserve"> : Les hypothèses, scénarios et plans d’action se structurent plus vite pour faciliter la décision. KPI de référence : Temps de préparation stratégique ; nombre de scénarios comparés.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Management &amp; Leadership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Comités de direction, top management, managers de BU, responsables de transformation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Décisions plus rapides sur les priorités IA (moins de dispersion, plus d’ordre).</w:t>
      </w:r>
    </w:p>
    <w:p>
      <w:pPr>
        <w:pStyle w:val="ListBullet"/>
        <w:spacing w:after="40"/>
      </w:pPr>
      <w:r>
        <w:t>Adoption mieux pilotée sur les équipes (cadre, gouvernance, séquencement).</w:t>
      </w:r>
    </w:p>
    <w:p>
      <w:pPr>
        <w:pStyle w:val="ListBullet"/>
        <w:spacing w:after="40"/>
      </w:pPr>
      <w:r>
        <w:t>Moins de risque projet sur les premiers pilotes (règles, rôles, validation).</w:t>
      </w:r>
    </w:p>
    <w:p>
      <w:pPr>
        <w:pStyle w:val="ListBullet"/>
        <w:spacing w:after="40"/>
      </w:pPr>
      <w:r>
        <w:t>Lecture plus nette des premiers KPI (usage réel, valeur, extension).</w:t>
      </w:r>
    </w:p>
    <w:p>
      <w:pPr>
        <w:pStyle w:val="ListBullet"/>
        <w:spacing w:after="40"/>
      </w:pPr>
      <w:r>
        <w:t>Une feuille de route claire sur les deux premiers cas d’usage à lancer dans le management et le leadership.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le management et le leadership.</w:t>
      </w:r>
    </w:p>
    <w:p>
      <w:pPr>
        <w:pStyle w:val="ListBullet"/>
        <w:spacing w:after="40"/>
      </w:pPr>
      <w:r>
        <w:t>Savoir structurer et piloter le cas d’usage « Briefing dirigeant et grille d’arbitrage ».</w:t>
      </w:r>
    </w:p>
    <w:p>
      <w:pPr>
        <w:pStyle w:val="ListBullet"/>
        <w:spacing w:after="40"/>
      </w:pPr>
      <w:r>
        <w:t>Savoir structurer et piloter le cas d’usage « Conduite du changement et culture IA ».</w:t>
      </w:r>
    </w:p>
    <w:p>
      <w:pPr>
        <w:pStyle w:val="ListBullet"/>
        <w:spacing w:after="40"/>
      </w:pPr>
      <w:r>
        <w:t>Savoir structurer et piloter le cas d’usage « Leadership data-driven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Le point central ici n’est pas la technologie seule. C’est la capacité du management à choisir les bons terrains, à cadrer les usages et à transformer l’intention en exécution.</w:t>
      </w:r>
    </w:p>
    <w:p>
      <w:pPr>
        <w:pStyle w:val="ListBullet"/>
        <w:spacing w:after="40"/>
      </w:pPr>
      <w:r>
        <w:t>Cartographie des priorités métier confirmées : Décideurs exposés mais peu outillés ; Transformation mal ordonnée ; Culture et conduite du changement insuffisantes.</w:t>
      </w:r>
    </w:p>
    <w:p>
      <w:pPr>
        <w:pStyle w:val="ListBullet"/>
        <w:spacing w:after="40"/>
      </w:pPr>
      <w:r>
        <w:t>Études de cas guidées autour de « Briefing dirigeant et grille d’arbitrage » et « Conduite du changement et culture IA ».</w:t>
      </w:r>
    </w:p>
    <w:p>
      <w:pPr>
        <w:pStyle w:val="ListBullet"/>
        <w:spacing w:after="40"/>
      </w:pPr>
      <w:r>
        <w:t>Méthodes, outils et gestes professionnels à partir des ancrages pédagogiques suivants : IA pour Dirigeants : Vision et Stratégie ; Prise de Décision Stratégique avec l’IA ; Leadership Data-Driven avec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Leadership data-driven » et « Planification stratégique assistée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Conduite du Changement IA en Entreprise ; Planification Stratégique Assistée par l’IA ; Culture IA : Transformer les Mentalités.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le management et le leadership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Briefing dirigeant et grille d’arbitrage » ; « Conduite du changement et culture IA » ; « Leadership data-driven » ; « Planification stratégique assistée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IA pour Dirigeants : Vision et Stratégie ; Prise de Décision Stratégique avec l’IA ; Leadership Data-Driven avec l’IA ; Conduite du Changement IA en Entreprise.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IA pour Dirigeants : Vision et Stratégie</w:t>
      </w:r>
    </w:p>
    <w:p>
      <w:pPr>
        <w:pStyle w:val="ListBullet"/>
        <w:spacing w:after="40"/>
      </w:pPr>
      <w:r>
        <w:t>Prise de Décision Stratégique avec l’IA</w:t>
      </w:r>
    </w:p>
    <w:p>
      <w:pPr>
        <w:pStyle w:val="ListBullet"/>
        <w:spacing w:after="40"/>
      </w:pPr>
      <w:r>
        <w:t>Leadership Data-Driven avec l’IA</w:t>
      </w:r>
    </w:p>
    <w:p>
      <w:pPr>
        <w:pStyle w:val="ListBullet"/>
        <w:spacing w:after="40"/>
      </w:pPr>
      <w:r>
        <w:t>Conduite du Changement IA en Entreprise</w:t>
      </w:r>
    </w:p>
    <w:p>
      <w:pPr>
        <w:pStyle w:val="ListBullet"/>
        <w:spacing w:after="40"/>
      </w:pPr>
      <w:r>
        <w:t>Planification Stratégique Assistée par l’IA</w:t>
      </w:r>
    </w:p>
    <w:p>
      <w:pPr>
        <w:pStyle w:val="ListBullet"/>
        <w:spacing w:after="40"/>
      </w:pPr>
      <w:r>
        <w:t>Culture IA : Transformer les Mentalités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