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  <w:pBdr>
          <w:bottom w:val="single" w:sz="8" w:space="1" w:color="D9E2F2"/>
        </w:pBdr>
      </w:pPr>
      <w:r>
        <w:t>TransferAI - Mini catalogue premium Marketing &amp; Communication</w:t>
      </w:r>
    </w:p>
    <w:p>
      <w:pPr>
        <w:pStyle w:val="Subtitle"/>
        <w:spacing w:after="280"/>
        <w:jc w:val="center"/>
      </w:pPr>
      <w:r>
        <w:t>Catalogue ciblé par secteur | Formule prioritaire sur mesure | Édition du 2026-06-12 · Ce document est conçu pour des prospects de même univers métier. Il peut être adapté à une organisation précise après audit IA gratuit et échange expert de qualification.</w:t>
      </w:r>
    </w:p>
    <w:p>
      <w:pPr>
        <w:pStyle w:val="Heading1"/>
        <w:spacing w:before="200" w:after="60"/>
      </w:pPr>
      <w:r>
        <w:t>Fiche sectorielle 03 / 16</w:t>
      </w:r>
    </w:p>
    <w:p>
      <w:pPr>
        <w:pStyle w:val="Heading2"/>
        <w:spacing w:before="120" w:after="60"/>
      </w:pPr>
      <w:r>
        <w:t>Domaine de référence</w:t>
      </w:r>
    </w:p>
    <w:p>
      <w:pPr>
        <w:pStyle w:val="ListBullet"/>
        <w:spacing w:after="40"/>
      </w:pPr>
      <w:r>
        <w:t>Marketing &amp; Communication | Contextes proches : Télécommunications ; Médias digitaux ; Médias audiovisuels ; Hôtellerie / Tourisme ; Agroalimentaire / Distribution</w:t>
      </w:r>
    </w:p>
    <w:p>
      <w:pPr>
        <w:pStyle w:val="Heading2"/>
        <w:spacing w:before="120" w:after="60"/>
      </w:pPr>
      <w:r>
        <w:t>Enjeux sectoriels</w:t>
      </w:r>
    </w:p>
    <w:p>
      <w:pPr>
        <w:pStyle w:val="ListBullet"/>
        <w:spacing w:after="40"/>
      </w:pPr>
      <w:r>
        <w:t>Dans ce domaine, l’IA doit servir la vitesse éditoriale, la cohérence de marque et la lecture des résultats, pas seulement la production de texte en masse.</w:t>
      </w:r>
    </w:p>
    <w:p>
      <w:pPr>
        <w:pStyle w:val="ListBullet"/>
        <w:spacing w:after="40"/>
      </w:pPr>
      <w:r>
        <w:t>Production de contenu trop coûteuse : Les campagnes dépendent d’allers-retours longs pour créer, adapter et décliner les messages. Les équipes disposent de cadres éditoriaux, variantes et assistants qui accélèrent la production sans perdre le cap de la marque.</w:t>
      </w:r>
    </w:p>
    <w:p>
      <w:pPr>
        <w:pStyle w:val="ListBullet"/>
        <w:spacing w:after="40"/>
      </w:pPr>
      <w:r>
        <w:t>Segmentation peu exploitée : Les audiences sont connues mais insuffisamment traduites en messages, offres ou parcours différenciés. Les segments deviennent plus actionnables grâce à des analyses et suggestions de contenus plus ciblés.</w:t>
      </w:r>
    </w:p>
    <w:p>
      <w:pPr>
        <w:pStyle w:val="ListBullet"/>
        <w:spacing w:after="40"/>
      </w:pPr>
      <w:r>
        <w:t>Peu de lecture rapide des résultats : Les reporting de campagne existent mais restent longs à relire, commenter et arbitrer. Les résultats sont synthétisés plus vite pour mieux décider : quoi arrêter, amplifier ou corriger.</w:t>
      </w:r>
    </w:p>
    <w:p>
      <w:pPr>
        <w:pStyle w:val="ListBullet"/>
        <w:spacing w:after="40"/>
      </w:pPr>
      <w:r>
        <w:t>Hétérogénéité multicanale : Chaque canal avance à son rythme et la cohérence du message se dégrade. Les assets et messages sont harmonisés plus facilement entre social, email, site et sales enablement.</w:t>
      </w:r>
    </w:p>
    <w:p>
      <w:pPr>
        <w:pStyle w:val="Heading2"/>
        <w:spacing w:before="120" w:after="60"/>
      </w:pPr>
      <w:r>
        <w:t>Contexte secteur à confirmer</w:t>
      </w:r>
    </w:p>
    <w:p>
      <w:pPr>
        <w:pStyle w:val="ListBullet"/>
        <w:spacing w:after="40"/>
      </w:pPr>
      <w:r>
        <w:t>Exemples de contextes proches : Télécommunications ; Médias digitaux ; Médias audiovisuels ; Hôtellerie / Tourisme ; Agroalimentaire / Distribution.</w:t>
      </w:r>
    </w:p>
    <w:p>
      <w:pPr>
        <w:pStyle w:val="ListBullet"/>
        <w:spacing w:after="40"/>
      </w:pPr>
      <w:r>
        <w:t>Les enjeux confirmés au cadrage doivent être reliés à des priorités visibles pour le marketing et la communication.</w:t>
      </w:r>
    </w:p>
    <w:p>
      <w:pPr>
        <w:pStyle w:val="ListBullet"/>
        <w:spacing w:after="40"/>
      </w:pPr>
      <w:r>
        <w:t>Le périmètre à confirmer peut concerner un site pilote, une direction donnée, une équipe support ou un processus transverse.</w:t>
      </w:r>
    </w:p>
    <w:p>
      <w:pPr>
        <w:pStyle w:val="ListBullet"/>
        <w:spacing w:after="40"/>
      </w:pPr>
      <w:r>
        <w:t>Les cas d’usage retenus doivent être validés selon les données disponibles, les règles de confidentialité et la capacité de supervision humaine.</w:t>
      </w:r>
    </w:p>
    <w:p>
      <w:pPr>
        <w:pStyle w:val="Heading2"/>
        <w:spacing w:before="120" w:after="60"/>
      </w:pPr>
      <w:r>
        <w:t>Cas d’usage TransferAI mis en avant</w:t>
      </w:r>
    </w:p>
    <w:p>
      <w:pPr>
        <w:pStyle w:val="ListBullet"/>
        <w:spacing w:after="40"/>
      </w:pPr>
      <w:r>
        <w:rPr>
          <w:b/>
        </w:rPr>
        <w:t>Machine à contenus multiformats</w:t>
      </w:r>
      <w:r>
        <w:t xml:space="preserve"> : Un cadre outillé permet de produire plus vite des contenus cohérents pour plusieurs canaux. KPI de référence : Temps de mise en campagne ; volume d’assets produits.</w:t>
      </w:r>
    </w:p>
    <w:p>
      <w:pPr>
        <w:pStyle w:val="ListBullet"/>
        <w:spacing w:after="40"/>
      </w:pPr>
      <w:r>
        <w:rPr>
          <w:b/>
        </w:rPr>
        <w:t>Segmentation et lecture des audiences</w:t>
      </w:r>
      <w:r>
        <w:t xml:space="preserve"> : L’IA aide à reformuler les segments et à relier audiences, arguments et formats. KPI de référence : Taux d’engagement par segment ; coût d’acquisition par cohorte.</w:t>
      </w:r>
    </w:p>
    <w:p>
      <w:pPr>
        <w:pStyle w:val="ListBullet"/>
        <w:spacing w:after="40"/>
      </w:pPr>
      <w:r>
        <w:rPr>
          <w:b/>
        </w:rPr>
        <w:t>Copywriting et conversion</w:t>
      </w:r>
      <w:r>
        <w:t xml:space="preserve"> : Les équipes gagnent des variantes plus rapides à tester pour landing pages, emails et posts. KPI de référence : Temps de rédaction ; taux de clic ou conversion.</w:t>
      </w:r>
    </w:p>
    <w:p>
      <w:pPr>
        <w:pStyle w:val="ListBullet"/>
        <w:spacing w:after="40"/>
      </w:pPr>
      <w:r>
        <w:rPr>
          <w:b/>
        </w:rPr>
        <w:t>Synthèse de campagnes et recommandations</w:t>
      </w:r>
      <w:r>
        <w:t xml:space="preserve"> : Les résultats sont résumés avec recommandations plus lisibles pour arbitrer rapidement. KPI de référence : Temps de reporting ; délai de décision après campagne.</w:t>
      </w:r>
    </w:p>
    <w:p>
      <w:pPr>
        <w:pStyle w:val="Heading1"/>
        <w:spacing w:before="200" w:after="60"/>
      </w:pPr>
      <w:r>
        <w:t>Formule prioritaire recommandée</w:t>
      </w:r>
    </w:p>
    <w:p>
      <w:pPr>
        <w:pStyle w:val="Heading2"/>
        <w:spacing w:before="120" w:after="60"/>
      </w:pPr>
      <w:r>
        <w:t>Intitulé</w:t>
      </w:r>
    </w:p>
    <w:p>
      <w:pPr>
        <w:pStyle w:val="ListBullet"/>
        <w:spacing w:after="40"/>
      </w:pPr>
      <w:r>
        <w:t>Bootcamp IA sectoriel Marketing &amp; Communication : de l’acculturation utile au premier pilote mesurable</w:t>
      </w:r>
    </w:p>
    <w:p>
      <w:pPr>
        <w:pStyle w:val="Heading2"/>
        <w:spacing w:before="120" w:after="60"/>
      </w:pPr>
      <w:r>
        <w:t>Public cible</w:t>
      </w:r>
    </w:p>
    <w:p>
      <w:pPr>
        <w:pStyle w:val="ListBullet"/>
        <w:spacing w:after="40"/>
      </w:pPr>
      <w:r>
        <w:t>Directions marketing, communication, brand, digital, contenu et acquisition</w:t>
      </w:r>
    </w:p>
    <w:p>
      <w:pPr>
        <w:pStyle w:val="Heading2"/>
        <w:spacing w:before="120" w:after="60"/>
      </w:pPr>
      <w:r>
        <w:t>Formats possibles</w:t>
      </w:r>
    </w:p>
    <w:p>
      <w:pPr>
        <w:pStyle w:val="ListBullet"/>
        <w:spacing w:after="40"/>
      </w:pPr>
      <w:r>
        <w:t>Présentiel</w:t>
      </w:r>
    </w:p>
    <w:p>
      <w:pPr>
        <w:pStyle w:val="ListBullet"/>
        <w:spacing w:after="40"/>
      </w:pPr>
      <w:r>
        <w:t>Hybride</w:t>
      </w:r>
    </w:p>
    <w:p>
      <w:pPr>
        <w:pStyle w:val="ListBullet"/>
        <w:spacing w:after="40"/>
      </w:pPr>
      <w:r>
        <w:t>En ligne (style webinaire)</w:t>
      </w:r>
    </w:p>
    <w:p>
      <w:pPr>
        <w:pStyle w:val="Heading2"/>
        <w:spacing w:before="120" w:after="60"/>
      </w:pPr>
      <w:r>
        <w:t>Niveaux</w:t>
      </w:r>
    </w:p>
    <w:p>
      <w:pPr>
        <w:pStyle w:val="ListBullet"/>
        <w:spacing w:after="40"/>
      </w:pPr>
      <w:r>
        <w:t>Débutant</w:t>
      </w:r>
    </w:p>
    <w:p>
      <w:pPr>
        <w:pStyle w:val="ListBullet"/>
        <w:spacing w:after="40"/>
      </w:pPr>
      <w:r>
        <w:t>Intermédiaire</w:t>
      </w:r>
    </w:p>
    <w:p>
      <w:pPr>
        <w:pStyle w:val="ListBullet"/>
        <w:spacing w:after="40"/>
      </w:pPr>
      <w:r>
        <w:t>Avancé</w:t>
      </w:r>
    </w:p>
    <w:p>
      <w:pPr>
        <w:pStyle w:val="Heading2"/>
        <w:spacing w:before="120" w:after="60"/>
      </w:pPr>
      <w:r>
        <w:t>Durée</w:t>
      </w:r>
    </w:p>
    <w:p>
      <w:pPr>
        <w:pStyle w:val="ListBullet"/>
        <w:spacing w:after="40"/>
      </w:pPr>
      <w:r>
        <w:t>1 jour : version décideurs et managers</w:t>
      </w:r>
    </w:p>
    <w:p>
      <w:pPr>
        <w:pStyle w:val="ListBullet"/>
        <w:spacing w:after="40"/>
      </w:pPr>
      <w:r>
        <w:t>2 jours : version équipes, managers et mise en pratique</w:t>
      </w:r>
    </w:p>
    <w:p>
      <w:pPr>
        <w:pStyle w:val="Heading2"/>
        <w:spacing w:before="120" w:after="60"/>
      </w:pPr>
      <w:r>
        <w:t>Tarif</w:t>
      </w:r>
    </w:p>
    <w:p>
      <w:pPr>
        <w:pStyle w:val="ListBullet"/>
        <w:spacing w:after="40"/>
      </w:pPr>
      <w:r>
        <w:t>Prix sur demande</w:t>
      </w:r>
    </w:p>
    <w:p>
      <w:pPr>
        <w:pStyle w:val="Heading2"/>
        <w:spacing w:before="120" w:after="60"/>
      </w:pPr>
      <w:r>
        <w:t>Résultats attendus</w:t>
      </w:r>
    </w:p>
    <w:p>
      <w:pPr>
        <w:pStyle w:val="ListBullet"/>
        <w:spacing w:after="40"/>
      </w:pPr>
      <w:r>
        <w:t>40 à 70 % sur le temps de production (brief, variantes, déclinaisons).</w:t>
      </w:r>
    </w:p>
    <w:p>
      <w:pPr>
        <w:pStyle w:val="ListBullet"/>
        <w:spacing w:after="40"/>
      </w:pPr>
      <w:r>
        <w:t>Meilleure cohérence entre canaux (promesse, ton et priorités).</w:t>
      </w:r>
    </w:p>
    <w:p>
      <w:pPr>
        <w:pStyle w:val="ListBullet"/>
        <w:spacing w:after="40"/>
      </w:pPr>
      <w:r>
        <w:t>Lecture plus rapide des campagnes (commentaires et arbitrages).</w:t>
      </w:r>
    </w:p>
    <w:p>
      <w:pPr>
        <w:pStyle w:val="ListBullet"/>
        <w:spacing w:after="40"/>
      </w:pPr>
      <w:r>
        <w:t>Segmentation plus utile pour les équipes growth (messages plus ciblés).</w:t>
      </w:r>
    </w:p>
    <w:p>
      <w:pPr>
        <w:pStyle w:val="ListBullet"/>
        <w:spacing w:after="40"/>
      </w:pPr>
      <w:r>
        <w:t>Une feuille de route claire sur les deux premiers cas d’usage à lancer dans le marketing et la communication.</w:t>
      </w:r>
    </w:p>
    <w:p>
      <w:pPr>
        <w:pStyle w:val="ListBullet"/>
        <w:spacing w:after="40"/>
      </w:pPr>
      <w:r>
        <w:t>Une meilleure capacité à relier formation, gouvernance, pilote et retour sur investissement visible.</w:t>
      </w:r>
    </w:p>
    <w:p>
      <w:pPr>
        <w:pStyle w:val="Heading2"/>
        <w:spacing w:before="120" w:after="60"/>
      </w:pPr>
      <w:r>
        <w:t>Objectifs pédagogiques</w:t>
      </w:r>
    </w:p>
    <w:p>
      <w:pPr>
        <w:pStyle w:val="ListBullet"/>
        <w:spacing w:after="40"/>
      </w:pPr>
      <w:r>
        <w:t>Identifier les priorités métier les plus crédibles à traiter par l’IA dans le marketing et la communication.</w:t>
      </w:r>
    </w:p>
    <w:p>
      <w:pPr>
        <w:pStyle w:val="ListBullet"/>
        <w:spacing w:after="40"/>
      </w:pPr>
      <w:r>
        <w:t>Savoir structurer et piloter le cas d’usage « Machine à contenus multiformats ».</w:t>
      </w:r>
    </w:p>
    <w:p>
      <w:pPr>
        <w:pStyle w:val="ListBullet"/>
        <w:spacing w:after="40"/>
      </w:pPr>
      <w:r>
        <w:t>Savoir structurer et piloter le cas d’usage « Segmentation et lecture des audiences ».</w:t>
      </w:r>
    </w:p>
    <w:p>
      <w:pPr>
        <w:pStyle w:val="ListBullet"/>
        <w:spacing w:after="40"/>
      </w:pPr>
      <w:r>
        <w:t>Savoir structurer et piloter le cas d’usage « Copywriting et conversion ».</w:t>
      </w:r>
    </w:p>
    <w:p>
      <w:pPr>
        <w:pStyle w:val="ListBullet"/>
        <w:spacing w:after="40"/>
      </w:pPr>
      <w:r>
        <w:t>Distinguer les usages immédiatement activables, les usages à encadrer et les usages à piloter dans le temps.</w:t>
      </w:r>
    </w:p>
    <w:p>
      <w:pPr>
        <w:pStyle w:val="ListBullet"/>
        <w:spacing w:after="40"/>
      </w:pPr>
      <w:r>
        <w:t>Définir des KPI simples, un cadre de confiance et un premier plan d’action à 90 jours.</w:t>
      </w:r>
    </w:p>
    <w:p>
      <w:pPr>
        <w:pStyle w:val="Heading2"/>
        <w:spacing w:before="120" w:after="60"/>
      </w:pPr>
      <w:r>
        <w:t>Programme</w:t>
      </w:r>
    </w:p>
    <w:p>
      <w:pPr>
        <w:pStyle w:val="Heading3"/>
        <w:spacing w:before="120" w:after="60"/>
      </w:pPr>
      <w:r>
        <w:t>Jour 1</w:t>
      </w:r>
    </w:p>
    <w:p>
      <w:pPr>
        <w:pStyle w:val="ListBullet"/>
        <w:spacing w:after="40"/>
      </w:pPr>
      <w:r>
        <w:t>Lecture des enjeux sectoriels : Dans ce domaine, l’IA doit servir la vitesse éditoriale, la cohérence de marque et la lecture des résultats, pas seulement la production de texte en masse.</w:t>
      </w:r>
    </w:p>
    <w:p>
      <w:pPr>
        <w:pStyle w:val="ListBullet"/>
        <w:spacing w:after="40"/>
      </w:pPr>
      <w:r>
        <w:t>Cartographie des priorités métier confirmées : Production de contenu trop coûteuse ; Segmentation peu exploitée ; Peu de lecture rapide des résultats.</w:t>
      </w:r>
    </w:p>
    <w:p>
      <w:pPr>
        <w:pStyle w:val="ListBullet"/>
        <w:spacing w:after="40"/>
      </w:pPr>
      <w:r>
        <w:t>Études de cas guidées autour de « Machine à contenus multiformats » et « Segmentation et lecture des audiences ».</w:t>
      </w:r>
    </w:p>
    <w:p>
      <w:pPr>
        <w:pStyle w:val="ListBullet"/>
        <w:spacing w:after="40"/>
      </w:pPr>
      <w:r>
        <w:t>Méthodes, outils et gestes professionnels à partir des ancrages pédagogiques suivants : Création de Contenu Marketing avec l’IA ; Stratégie Marketing Data-Driven avec l’IA ; Analyse d’Audience et Segmentation IA.</w:t>
      </w:r>
    </w:p>
    <w:p>
      <w:pPr>
        <w:pStyle w:val="ListBullet"/>
        <w:spacing w:after="40"/>
      </w:pPr>
      <w:r>
        <w:t>Cadre de confiance : confidentialité, supervision humaine, validation managériale et critères d’extension.</w:t>
      </w:r>
    </w:p>
    <w:p>
      <w:pPr>
        <w:pStyle w:val="Heading3"/>
        <w:spacing w:before="120" w:after="60"/>
      </w:pPr>
      <w:r>
        <w:t>Jour 2</w:t>
      </w:r>
    </w:p>
    <w:p>
      <w:pPr>
        <w:pStyle w:val="ListBullet"/>
        <w:spacing w:after="40"/>
      </w:pPr>
      <w:r>
        <w:t>Cette journée s’active lorsque la formule 2 jours est retenue.</w:t>
      </w:r>
    </w:p>
    <w:p>
      <w:pPr>
        <w:pStyle w:val="ListBullet"/>
        <w:spacing w:after="40"/>
      </w:pPr>
      <w:r>
        <w:t>Ateliers de conception sur « Copywriting et conversion » et « Synthèse de campagnes et recommandations ».</w:t>
      </w:r>
    </w:p>
    <w:p>
      <w:pPr>
        <w:pStyle w:val="ListBullet"/>
        <w:spacing w:after="40"/>
      </w:pPr>
      <w:r>
        <w:t>Construction de prompts, trames, routines et scénarios d’usage adaptés au terrain.</w:t>
      </w:r>
    </w:p>
    <w:p>
      <w:pPr>
        <w:pStyle w:val="ListBullet"/>
        <w:spacing w:after="40"/>
      </w:pPr>
      <w:r>
        <w:t>Approfondissements recommandés : Copywriting IA : Rédiger des Textes qui Convertissent ; Social Media Management avec l’IA ; Publicité Digitale Optimisée par l’IA.</w:t>
      </w:r>
    </w:p>
    <w:p>
      <w:pPr>
        <w:pStyle w:val="ListBullet"/>
        <w:spacing w:after="40"/>
      </w:pPr>
      <w:r>
        <w:t>Définition du premier pilote, des livrables attendus et des KPI de suivi.</w:t>
      </w:r>
    </w:p>
    <w:p>
      <w:pPr>
        <w:pStyle w:val="ListBullet"/>
        <w:spacing w:after="40"/>
      </w:pPr>
      <w:r>
        <w:t>Plan d’action à 90 jours : séquencement, populations à former, gouvernance et arbitrages de déploiement.</w:t>
      </w:r>
    </w:p>
    <w:p>
      <w:pPr>
        <w:pStyle w:val="Heading2"/>
        <w:spacing w:before="120" w:after="60"/>
      </w:pPr>
      <w:r>
        <w:t>Livrables / attendus</w:t>
      </w:r>
    </w:p>
    <w:p>
      <w:pPr>
        <w:pStyle w:val="ListBullet"/>
        <w:spacing w:after="40"/>
      </w:pPr>
      <w:r>
        <w:t>Une note de cadrage sectorielle pour le marketing et la communication avec priorités confirmées, risques et premières décisions.</w:t>
      </w:r>
    </w:p>
    <w:p>
      <w:pPr>
        <w:pStyle w:val="ListBullet"/>
        <w:spacing w:after="40"/>
      </w:pPr>
      <w:r>
        <w:t>Une matrice des cas d’usage prioritaires incluant « Machine à contenus multiformats » ; « Segmentation et lecture des audiences » ; « Copywriting et conversion » ; « Synthèse de campagnes et recommandations ».</w:t>
      </w:r>
    </w:p>
    <w:p>
      <w:pPr>
        <w:pStyle w:val="ListBullet"/>
        <w:spacing w:after="40"/>
      </w:pPr>
      <w:r>
        <w:t>Un canevas de pilote à 90 jours avec KPI, rôles, supervision et critères de succès.</w:t>
      </w:r>
    </w:p>
    <w:p>
      <w:pPr>
        <w:pStyle w:val="ListBullet"/>
        <w:spacing w:after="40"/>
      </w:pPr>
      <w:r>
        <w:t>Une recommandation de parcours de montée en compétences à partir de : Création de Contenu Marketing avec l’IA ; Stratégie Marketing Data-Driven avec l’IA ; Analyse d’Audience et Segmentation IA ; Copywriting IA : Rédiger des Textes qui Convertissent.</w:t>
      </w:r>
    </w:p>
    <w:p>
      <w:pPr>
        <w:pStyle w:val="Heading2"/>
        <w:spacing w:before="120" w:after="60"/>
      </w:pPr>
      <w:r>
        <w:t>Ancrages pédagogiques recommandés</w:t>
      </w:r>
    </w:p>
    <w:p>
      <w:pPr>
        <w:pStyle w:val="ListBullet"/>
        <w:spacing w:after="40"/>
      </w:pPr>
      <w:r>
        <w:t>Création de Contenu Marketing avec l’IA</w:t>
      </w:r>
    </w:p>
    <w:p>
      <w:pPr>
        <w:pStyle w:val="ListBullet"/>
        <w:spacing w:after="40"/>
      </w:pPr>
      <w:r>
        <w:t>Stratégie Marketing Data-Driven avec l’IA</w:t>
      </w:r>
    </w:p>
    <w:p>
      <w:pPr>
        <w:pStyle w:val="ListBullet"/>
        <w:spacing w:after="40"/>
      </w:pPr>
      <w:r>
        <w:t>Analyse d’Audience et Segmentation IA</w:t>
      </w:r>
    </w:p>
    <w:p>
      <w:pPr>
        <w:pStyle w:val="ListBullet"/>
        <w:spacing w:after="40"/>
      </w:pPr>
      <w:r>
        <w:t>Copywriting IA : Rédiger des Textes qui Convertissent</w:t>
      </w:r>
    </w:p>
    <w:p>
      <w:pPr>
        <w:pStyle w:val="ListBullet"/>
        <w:spacing w:after="40"/>
      </w:pPr>
      <w:r>
        <w:t>Social Media Management avec l’IA</w:t>
      </w:r>
    </w:p>
    <w:p>
      <w:pPr>
        <w:pStyle w:val="ListBullet"/>
        <w:spacing w:after="40"/>
      </w:pPr>
      <w:r>
        <w:t>Publicité Digitale Optimisée par l’IA</w:t>
      </w:r>
    </w:p>
    <w:p>
      <w:pPr>
        <w:pStyle w:val="Heading2"/>
        <w:spacing w:before="120" w:after="60"/>
      </w:pPr>
      <w:r>
        <w:t>Mention de personnalisation</w:t>
      </w:r>
    </w:p>
    <w:p>
      <w:pPr>
        <w:pStyle w:val="ListBullet"/>
        <w:spacing w:after="40"/>
      </w:pPr>
      <w:r>
        <w:t>Le contenu final est ajusté après qualification du contexte, des outils déjà utilisés, des données disponibles et des arbitrages de confidentialité propres au prospect.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E5D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B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