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  <w:pBdr>
          <w:bottom w:val="single" w:sz="8" w:space="1" w:color="D9E2F2"/>
        </w:pBdr>
      </w:pPr>
      <w:r>
        <w:t>TransferAI - Mini catalogue premium Ressources Humaines</w:t>
      </w:r>
    </w:p>
    <w:p>
      <w:pPr>
        <w:pStyle w:val="Subtitle"/>
        <w:spacing w:after="280"/>
        <w:jc w:val="center"/>
      </w:pPr>
      <w:r>
        <w:t>Catalogue ciblé par secteur | Formule prioritaire sur mesure | Édition du 2026-06-12 · Ce document est conçu pour des prospects de même univers métier. Il peut être adapté à une organisation précise après audit IA gratuit et échange expert de qualification.</w:t>
      </w:r>
    </w:p>
    <w:p>
      <w:pPr>
        <w:pStyle w:val="Heading1"/>
        <w:spacing w:before="200" w:after="60"/>
      </w:pPr>
      <w:r>
        <w:t>Fiche sectorielle 02 / 16</w:t>
      </w:r>
    </w:p>
    <w:p>
      <w:pPr>
        <w:pStyle w:val="Heading2"/>
        <w:spacing w:before="120" w:after="60"/>
      </w:pPr>
      <w:r>
        <w:t>Domaine de référence</w:t>
      </w:r>
    </w:p>
    <w:p>
      <w:pPr>
        <w:pStyle w:val="ListBullet"/>
        <w:spacing w:after="40"/>
      </w:pPr>
      <w:r>
        <w:t>Ressources Humaines | Contextes proches : RH / Recrutement ; Banque / Finance ; Assurance ; Télécommunications ; Formation professionnelle</w:t>
      </w:r>
    </w:p>
    <w:p>
      <w:pPr>
        <w:pStyle w:val="Heading2"/>
        <w:spacing w:before="120" w:after="60"/>
      </w:pPr>
      <w:r>
        <w:t>Enjeux sectoriels</w:t>
      </w:r>
    </w:p>
    <w:p>
      <w:pPr>
        <w:pStyle w:val="ListBullet"/>
        <w:spacing w:after="40"/>
      </w:pPr>
      <w:r>
        <w:t>Le bon angle RH n’est pas de remplacer le jugement humain. Il consiste à réduire les délais, sécuriser les processus et mieux accompagner les équipes et les managers.</w:t>
      </w:r>
    </w:p>
    <w:p>
      <w:pPr>
        <w:pStyle w:val="ListBullet"/>
        <w:spacing w:after="40"/>
      </w:pPr>
      <w:r>
        <w:t>Recrutement chronophage : Les candidatures, présélections et comptes rendus d’entretien consomment beaucoup de temps dispersé. Le tri, la préparation d’entretiens et les synthèses deviennent plus rapides et plus comparables.</w:t>
      </w:r>
    </w:p>
    <w:p>
      <w:pPr>
        <w:pStyle w:val="ListBullet"/>
        <w:spacing w:after="40"/>
      </w:pPr>
      <w:r>
        <w:t>Onboarding inégal selon les équipes : L’intégration dépend fortement du manager, du site ou de la disponibilité des référents. Des parcours et kits d’accueil mieux structurés homogénéisent les premières semaines.</w:t>
      </w:r>
    </w:p>
    <w:p>
      <w:pPr>
        <w:pStyle w:val="ListBullet"/>
        <w:spacing w:after="40"/>
      </w:pPr>
      <w:r>
        <w:t>Documents RH peu standardisés : Comptes rendus, communications internes, fiches de poste et notes RH sont produits sans méthode stable. Des modèles et workflows assistés améliorent la cohérence sans alourdir l’exécution.</w:t>
      </w:r>
    </w:p>
    <w:p>
      <w:pPr>
        <w:pStyle w:val="ListBullet"/>
        <w:spacing w:after="40"/>
      </w:pPr>
      <w:r>
        <w:t>Faible visibilité sur les signaux RH : Le climat social, les retards d’intégration ou les besoins de formation sont repérés tardivement. L’analyse assistée met en lumière les signaux faibles et les priorités managériales plus tôt.</w:t>
      </w:r>
    </w:p>
    <w:p>
      <w:pPr>
        <w:pStyle w:val="Heading2"/>
        <w:spacing w:before="120" w:after="60"/>
      </w:pPr>
      <w:r>
        <w:t>Contexte secteur à confirmer</w:t>
      </w:r>
    </w:p>
    <w:p>
      <w:pPr>
        <w:pStyle w:val="ListBullet"/>
        <w:spacing w:after="40"/>
      </w:pPr>
      <w:r>
        <w:t>Exemples de contextes proches : RH / Recrutement ; Banque / Finance ; Assurance ; Télécommunications ; Formation professionnelle.</w:t>
      </w:r>
    </w:p>
    <w:p>
      <w:pPr>
        <w:pStyle w:val="ListBullet"/>
        <w:spacing w:after="40"/>
      </w:pPr>
      <w:r>
        <w:t>Les enjeux confirmés au cadrage doivent être reliés à des priorités visibles pour les ressources humaines.</w:t>
      </w:r>
    </w:p>
    <w:p>
      <w:pPr>
        <w:pStyle w:val="ListBullet"/>
        <w:spacing w:after="40"/>
      </w:pPr>
      <w:r>
        <w:t>Le périmètre à confirmer peut concerner un site pilote, une direction donnée, une équipe support ou un processus transverse.</w:t>
      </w:r>
    </w:p>
    <w:p>
      <w:pPr>
        <w:pStyle w:val="ListBullet"/>
        <w:spacing w:after="40"/>
      </w:pPr>
      <w:r>
        <w:t>Les cas d’usage retenus doivent être validés selon les données disponibles, les règles de confidentialité et la capacité de supervision humaine.</w:t>
      </w:r>
    </w:p>
    <w:p>
      <w:pPr>
        <w:pStyle w:val="Heading2"/>
        <w:spacing w:before="120" w:after="60"/>
      </w:pPr>
      <w:r>
        <w:t>Cas d’usage TransferAI mis en avant</w:t>
      </w:r>
    </w:p>
    <w:p>
      <w:pPr>
        <w:pStyle w:val="ListBullet"/>
        <w:spacing w:after="40"/>
      </w:pPr>
      <w:r>
        <w:rPr>
          <w:b/>
        </w:rPr>
        <w:t>Sourcing, tri et synthèse de candidatures</w:t>
      </w:r>
      <w:r>
        <w:t xml:space="preserve"> : Les premières analyses, résumés et questions d’entretien se préparent plus vite et plus proprement. KPI de référence : Temps de présélection ; délai avant premier entretien.</w:t>
      </w:r>
    </w:p>
    <w:p>
      <w:pPr>
        <w:pStyle w:val="ListBullet"/>
        <w:spacing w:after="40"/>
      </w:pPr>
      <w:r>
        <w:rPr>
          <w:b/>
        </w:rPr>
        <w:t>Onboarding structuré et assistant RH interne</w:t>
      </w:r>
      <w:r>
        <w:t xml:space="preserve"> : Un assistant encadré redonne les bonnes réponses, procédures et documents d’intégration. KPI de référence : Temps d’intégration ; satisfaction à 30 jours.</w:t>
      </w:r>
    </w:p>
    <w:p>
      <w:pPr>
        <w:pStyle w:val="ListBullet"/>
        <w:spacing w:after="40"/>
      </w:pPr>
      <w:r>
        <w:rPr>
          <w:b/>
        </w:rPr>
        <w:t>People analytics et suivi des signaux RH</w:t>
      </w:r>
      <w:r>
        <w:t xml:space="preserve"> : Des synthèses assistées aident à piloter départs, besoins de formation et irritants récurrents. KPI de référence : Temps de reporting RH ; nombre de signaux détectés tôt.</w:t>
      </w:r>
    </w:p>
    <w:p>
      <w:pPr>
        <w:pStyle w:val="ListBullet"/>
        <w:spacing w:after="40"/>
      </w:pPr>
      <w:r>
        <w:rPr>
          <w:b/>
        </w:rPr>
        <w:t>Communication RH et marque employeur</w:t>
      </w:r>
      <w:r>
        <w:t xml:space="preserve"> : Les contenus RH gagnent en clarté, fréquence et qualité éditoriale. KPI de référence : Temps de production ; taux d’engagement interne.</w:t>
      </w:r>
    </w:p>
    <w:p>
      <w:pPr>
        <w:pStyle w:val="Heading1"/>
        <w:spacing w:before="200" w:after="60"/>
      </w:pPr>
      <w:r>
        <w:t>Formule prioritaire recommandée</w:t>
      </w:r>
    </w:p>
    <w:p>
      <w:pPr>
        <w:pStyle w:val="Heading2"/>
        <w:spacing w:before="120" w:after="60"/>
      </w:pPr>
      <w:r>
        <w:t>Intitulé</w:t>
      </w:r>
    </w:p>
    <w:p>
      <w:pPr>
        <w:pStyle w:val="ListBullet"/>
        <w:spacing w:after="40"/>
      </w:pPr>
      <w:r>
        <w:t>Bootcamp IA sectoriel Ressources Humaines : de l’acculturation utile au premier pilote mesurable</w:t>
      </w:r>
    </w:p>
    <w:p>
      <w:pPr>
        <w:pStyle w:val="Heading2"/>
        <w:spacing w:before="120" w:after="60"/>
      </w:pPr>
      <w:r>
        <w:t>Public cible</w:t>
      </w:r>
    </w:p>
    <w:p>
      <w:pPr>
        <w:pStyle w:val="ListBullet"/>
        <w:spacing w:after="40"/>
      </w:pPr>
      <w:r>
        <w:t>Directions RH, talent acquisition, formation, HRBP, managers de proximité</w:t>
      </w:r>
    </w:p>
    <w:p>
      <w:pPr>
        <w:pStyle w:val="Heading2"/>
        <w:spacing w:before="120" w:after="60"/>
      </w:pPr>
      <w:r>
        <w:t>Formats possibles</w:t>
      </w:r>
    </w:p>
    <w:p>
      <w:pPr>
        <w:pStyle w:val="ListBullet"/>
        <w:spacing w:after="40"/>
      </w:pPr>
      <w:r>
        <w:t>Présentiel</w:t>
      </w:r>
    </w:p>
    <w:p>
      <w:pPr>
        <w:pStyle w:val="ListBullet"/>
        <w:spacing w:after="40"/>
      </w:pPr>
      <w:r>
        <w:t>Hybride</w:t>
      </w:r>
    </w:p>
    <w:p>
      <w:pPr>
        <w:pStyle w:val="ListBullet"/>
        <w:spacing w:after="40"/>
      </w:pPr>
      <w:r>
        <w:t>En ligne (style webinaire)</w:t>
      </w:r>
    </w:p>
    <w:p>
      <w:pPr>
        <w:pStyle w:val="Heading2"/>
        <w:spacing w:before="120" w:after="60"/>
      </w:pPr>
      <w:r>
        <w:t>Niveaux</w:t>
      </w:r>
    </w:p>
    <w:p>
      <w:pPr>
        <w:pStyle w:val="ListBullet"/>
        <w:spacing w:after="40"/>
      </w:pPr>
      <w:r>
        <w:t>Débutant</w:t>
      </w:r>
    </w:p>
    <w:p>
      <w:pPr>
        <w:pStyle w:val="ListBullet"/>
        <w:spacing w:after="40"/>
      </w:pPr>
      <w:r>
        <w:t>Intermédiaire</w:t>
      </w:r>
    </w:p>
    <w:p>
      <w:pPr>
        <w:pStyle w:val="ListBullet"/>
        <w:spacing w:after="40"/>
      </w:pPr>
      <w:r>
        <w:t>Avancé</w:t>
      </w:r>
    </w:p>
    <w:p>
      <w:pPr>
        <w:pStyle w:val="Heading2"/>
        <w:spacing w:before="120" w:after="60"/>
      </w:pPr>
      <w:r>
        <w:t>Durée</w:t>
      </w:r>
    </w:p>
    <w:p>
      <w:pPr>
        <w:pStyle w:val="ListBullet"/>
        <w:spacing w:after="40"/>
      </w:pPr>
      <w:r>
        <w:t>1 jour : version décideurs et managers</w:t>
      </w:r>
    </w:p>
    <w:p>
      <w:pPr>
        <w:pStyle w:val="ListBullet"/>
        <w:spacing w:after="40"/>
      </w:pPr>
      <w:r>
        <w:t>2 jours : version équipes, managers et mise en pratique</w:t>
      </w:r>
    </w:p>
    <w:p>
      <w:pPr>
        <w:pStyle w:val="Heading2"/>
        <w:spacing w:before="120" w:after="60"/>
      </w:pPr>
      <w:r>
        <w:t>Tarif</w:t>
      </w:r>
    </w:p>
    <w:p>
      <w:pPr>
        <w:pStyle w:val="ListBullet"/>
        <w:spacing w:after="40"/>
      </w:pPr>
      <w:r>
        <w:t>Prix sur demande</w:t>
      </w:r>
    </w:p>
    <w:p>
      <w:pPr>
        <w:pStyle w:val="Heading2"/>
        <w:spacing w:before="120" w:after="60"/>
      </w:pPr>
      <w:r>
        <w:t>Résultats attendus</w:t>
      </w:r>
    </w:p>
    <w:p>
      <w:pPr>
        <w:pStyle w:val="ListBullet"/>
        <w:spacing w:after="40"/>
      </w:pPr>
      <w:r>
        <w:t>25 à 40 % sur le cycle de recrutement (tri, synthèses et préparation).</w:t>
      </w:r>
    </w:p>
    <w:p>
      <w:pPr>
        <w:pStyle w:val="ListBullet"/>
        <w:spacing w:after="40"/>
      </w:pPr>
      <w:r>
        <w:t>Onboarding plus homogène sur plusieurs sites (kit, parcours et réponses types).</w:t>
      </w:r>
    </w:p>
    <w:p>
      <w:pPr>
        <w:pStyle w:val="ListBullet"/>
        <w:spacing w:after="40"/>
      </w:pPr>
      <w:r>
        <w:t>Moins de redites pour les managers et RH (questions fréquentes et documents).</w:t>
      </w:r>
    </w:p>
    <w:p>
      <w:pPr>
        <w:pStyle w:val="ListBullet"/>
        <w:spacing w:after="40"/>
      </w:pPr>
      <w:r>
        <w:t>Décisions mieux documentées sur talents et performance (synthèses et indicateurs RH).</w:t>
      </w:r>
    </w:p>
    <w:p>
      <w:pPr>
        <w:pStyle w:val="ListBullet"/>
        <w:spacing w:after="40"/>
      </w:pPr>
      <w:r>
        <w:t>Une feuille de route claire sur les deux premiers cas d’usage à lancer dans les ressources humaines.</w:t>
      </w:r>
    </w:p>
    <w:p>
      <w:pPr>
        <w:pStyle w:val="ListBullet"/>
        <w:spacing w:after="40"/>
      </w:pPr>
      <w:r>
        <w:t>Une meilleure capacité à relier formation, gouvernance, pilote et retour sur investissement visible.</w:t>
      </w:r>
    </w:p>
    <w:p>
      <w:pPr>
        <w:pStyle w:val="Heading2"/>
        <w:spacing w:before="120" w:after="60"/>
      </w:pPr>
      <w:r>
        <w:t>Objectifs pédagogiques</w:t>
      </w:r>
    </w:p>
    <w:p>
      <w:pPr>
        <w:pStyle w:val="ListBullet"/>
        <w:spacing w:after="40"/>
      </w:pPr>
      <w:r>
        <w:t>Identifier les priorités métier les plus crédibles à traiter par l’IA dans les ressources humaines.</w:t>
      </w:r>
    </w:p>
    <w:p>
      <w:pPr>
        <w:pStyle w:val="ListBullet"/>
        <w:spacing w:after="40"/>
      </w:pPr>
      <w:r>
        <w:t>Savoir structurer et piloter le cas d’usage « Sourcing, tri et synthèse de candidatures ».</w:t>
      </w:r>
    </w:p>
    <w:p>
      <w:pPr>
        <w:pStyle w:val="ListBullet"/>
        <w:spacing w:after="40"/>
      </w:pPr>
      <w:r>
        <w:t>Savoir structurer et piloter le cas d’usage « Onboarding structuré et assistant RH interne ».</w:t>
      </w:r>
    </w:p>
    <w:p>
      <w:pPr>
        <w:pStyle w:val="ListBullet"/>
        <w:spacing w:after="40"/>
      </w:pPr>
      <w:r>
        <w:t>Savoir structurer et piloter le cas d’usage « People analytics et suivi des signaux RH ».</w:t>
      </w:r>
    </w:p>
    <w:p>
      <w:pPr>
        <w:pStyle w:val="ListBullet"/>
        <w:spacing w:after="40"/>
      </w:pPr>
      <w:r>
        <w:t>Distinguer les usages immédiatement activables, les usages à encadrer et les usages à piloter dans le temps.</w:t>
      </w:r>
    </w:p>
    <w:p>
      <w:pPr>
        <w:pStyle w:val="ListBullet"/>
        <w:spacing w:after="40"/>
      </w:pPr>
      <w:r>
        <w:t>Définir des KPI simples, un cadre de confiance et un premier plan d’action à 90 jours.</w:t>
      </w:r>
    </w:p>
    <w:p>
      <w:pPr>
        <w:pStyle w:val="Heading2"/>
        <w:spacing w:before="120" w:after="60"/>
      </w:pPr>
      <w:r>
        <w:t>Programme</w:t>
      </w:r>
    </w:p>
    <w:p>
      <w:pPr>
        <w:pStyle w:val="Heading3"/>
        <w:spacing w:before="120" w:after="60"/>
      </w:pPr>
      <w:r>
        <w:t>Jour 1</w:t>
      </w:r>
    </w:p>
    <w:p>
      <w:pPr>
        <w:pStyle w:val="ListBullet"/>
        <w:spacing w:after="40"/>
      </w:pPr>
      <w:r>
        <w:t>Lecture des enjeux sectoriels : Le bon angle RH n’est pas de remplacer le jugement humain. Il consiste à réduire les délais, sécuriser les processus et mieux accompagner les équipes et les managers.</w:t>
      </w:r>
    </w:p>
    <w:p>
      <w:pPr>
        <w:pStyle w:val="ListBullet"/>
        <w:spacing w:after="40"/>
      </w:pPr>
      <w:r>
        <w:t>Cartographie des priorités métier confirmées : Recrutement chronophage ; Onboarding inégal selon les équipes ; Documents RH peu standardisés.</w:t>
      </w:r>
    </w:p>
    <w:p>
      <w:pPr>
        <w:pStyle w:val="ListBullet"/>
        <w:spacing w:after="40"/>
      </w:pPr>
      <w:r>
        <w:t>Études de cas guidées autour de « Sourcing, tri et synthèse de candidatures » et « Onboarding structuré et assistant RH interne ».</w:t>
      </w:r>
    </w:p>
    <w:p>
      <w:pPr>
        <w:pStyle w:val="ListBullet"/>
        <w:spacing w:after="40"/>
      </w:pPr>
      <w:r>
        <w:t>Méthodes, outils et gestes professionnels à partir des ancrages pédagogiques suivants : IA et Recrutement : Sourcing &amp; Sélection ; Onboarding Automatisé avec l’IA ; Formation Personnalisée des Talents avec l’IA.</w:t>
      </w:r>
    </w:p>
    <w:p>
      <w:pPr>
        <w:pStyle w:val="ListBullet"/>
        <w:spacing w:after="40"/>
      </w:pPr>
      <w:r>
        <w:t>Cadre de confiance : confidentialité, supervision humaine, validation managériale et critères d’extension.</w:t>
      </w:r>
    </w:p>
    <w:p>
      <w:pPr>
        <w:pStyle w:val="Heading3"/>
        <w:spacing w:before="120" w:after="60"/>
      </w:pPr>
      <w:r>
        <w:t>Jour 2</w:t>
      </w:r>
    </w:p>
    <w:p>
      <w:pPr>
        <w:pStyle w:val="ListBullet"/>
        <w:spacing w:after="40"/>
      </w:pPr>
      <w:r>
        <w:t>Cette journée s’active lorsque la formule 2 jours est retenue.</w:t>
      </w:r>
    </w:p>
    <w:p>
      <w:pPr>
        <w:pStyle w:val="ListBullet"/>
        <w:spacing w:after="40"/>
      </w:pPr>
      <w:r>
        <w:t>Ateliers de conception sur « People analytics et suivi des signaux RH » et « Communication RH et marque employeur ».</w:t>
      </w:r>
    </w:p>
    <w:p>
      <w:pPr>
        <w:pStyle w:val="ListBullet"/>
        <w:spacing w:after="40"/>
      </w:pPr>
      <w:r>
        <w:t>Construction de prompts, trames, routines et scénarios d’usage adaptés au terrain.</w:t>
      </w:r>
    </w:p>
    <w:p>
      <w:pPr>
        <w:pStyle w:val="ListBullet"/>
        <w:spacing w:after="40"/>
      </w:pPr>
      <w:r>
        <w:t>Approfondissements recommandés : People Analytics : Données RH et IA ; Marque Employeur et IA ; Droit Social et IA : Conformité Automatisée.</w:t>
      </w:r>
    </w:p>
    <w:p>
      <w:pPr>
        <w:pStyle w:val="ListBullet"/>
        <w:spacing w:after="40"/>
      </w:pPr>
      <w:r>
        <w:t>Définition du premier pilote, des livrables attendus et des KPI de suivi.</w:t>
      </w:r>
    </w:p>
    <w:p>
      <w:pPr>
        <w:pStyle w:val="ListBullet"/>
        <w:spacing w:after="40"/>
      </w:pPr>
      <w:r>
        <w:t>Plan d’action à 90 jours : séquencement, populations à former, gouvernance et arbitrages de déploiement.</w:t>
      </w:r>
    </w:p>
    <w:p>
      <w:pPr>
        <w:pStyle w:val="Heading2"/>
        <w:spacing w:before="120" w:after="60"/>
      </w:pPr>
      <w:r>
        <w:t>Livrables / attendus</w:t>
      </w:r>
    </w:p>
    <w:p>
      <w:pPr>
        <w:pStyle w:val="ListBullet"/>
        <w:spacing w:after="40"/>
      </w:pPr>
      <w:r>
        <w:t>Une note de cadrage sectorielle pour les ressources humaines avec priorités confirmées, risques et premières décisions.</w:t>
      </w:r>
    </w:p>
    <w:p>
      <w:pPr>
        <w:pStyle w:val="ListBullet"/>
        <w:spacing w:after="40"/>
      </w:pPr>
      <w:r>
        <w:t>Une matrice des cas d’usage prioritaires incluant « Sourcing, tri et synthèse de candidatures » ; « Onboarding structuré et assistant RH interne » ; « People analytics et suivi des signaux RH » ; « Communication RH et marque employeur ».</w:t>
      </w:r>
    </w:p>
    <w:p>
      <w:pPr>
        <w:pStyle w:val="ListBullet"/>
        <w:spacing w:after="40"/>
      </w:pPr>
      <w:r>
        <w:t>Un canevas de pilote à 90 jours avec KPI, rôles, supervision et critères de succès.</w:t>
      </w:r>
    </w:p>
    <w:p>
      <w:pPr>
        <w:pStyle w:val="ListBullet"/>
        <w:spacing w:after="40"/>
      </w:pPr>
      <w:r>
        <w:t>Une recommandation de parcours de montée en compétences à partir de : IA et Recrutement : Sourcing &amp; Sélection ; Onboarding Automatisé avec l’IA ; Formation Personnalisée des Talents avec l’IA ; People Analytics : Données RH et IA.</w:t>
      </w:r>
    </w:p>
    <w:p>
      <w:pPr>
        <w:pStyle w:val="Heading2"/>
        <w:spacing w:before="120" w:after="60"/>
      </w:pPr>
      <w:r>
        <w:t>Ancrages pédagogiques recommandés</w:t>
      </w:r>
    </w:p>
    <w:p>
      <w:pPr>
        <w:pStyle w:val="ListBullet"/>
        <w:spacing w:after="40"/>
      </w:pPr>
      <w:r>
        <w:t>IA et Recrutement : Sourcing &amp; Sélection</w:t>
      </w:r>
    </w:p>
    <w:p>
      <w:pPr>
        <w:pStyle w:val="ListBullet"/>
        <w:spacing w:after="40"/>
      </w:pPr>
      <w:r>
        <w:t>Onboarding Automatisé avec l’IA</w:t>
      </w:r>
    </w:p>
    <w:p>
      <w:pPr>
        <w:pStyle w:val="ListBullet"/>
        <w:spacing w:after="40"/>
      </w:pPr>
      <w:r>
        <w:t>Formation Personnalisée des Talents avec l’IA</w:t>
      </w:r>
    </w:p>
    <w:p>
      <w:pPr>
        <w:pStyle w:val="ListBullet"/>
        <w:spacing w:after="40"/>
      </w:pPr>
      <w:r>
        <w:t>People Analytics : Données RH et IA</w:t>
      </w:r>
    </w:p>
    <w:p>
      <w:pPr>
        <w:pStyle w:val="ListBullet"/>
        <w:spacing w:after="40"/>
      </w:pPr>
      <w:r>
        <w:t>Marque Employeur et IA</w:t>
      </w:r>
    </w:p>
    <w:p>
      <w:pPr>
        <w:pStyle w:val="ListBullet"/>
        <w:spacing w:after="40"/>
      </w:pPr>
      <w:r>
        <w:t>Droit Social et IA : Conformité Automatisée</w:t>
      </w:r>
    </w:p>
    <w:p>
      <w:pPr>
        <w:pStyle w:val="Heading2"/>
        <w:spacing w:before="120" w:after="60"/>
      </w:pPr>
      <w:r>
        <w:t>Mention de personnalisation</w:t>
      </w:r>
    </w:p>
    <w:p>
      <w:pPr>
        <w:pStyle w:val="ListBullet"/>
        <w:spacing w:after="40"/>
      </w:pPr>
      <w:r>
        <w:t>Le contenu final est ajusté après qualification du contexte, des outils déjà utilisés, des données disponibles et des arbitrages de confidentialité propres au prospect.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