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Santé &amp; Bien-être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12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Santé &amp; Bien-être | Contextes proches : Santé / Clinique ; Santé / Hôpital ; Assurance ; Aide humanitaire / Éducation ; Développement durable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Le bon positionnement ici ne porte pas sur l’acte clinique lui-même. Il porte sur la qualité documentaire, la prévention, la communication et le pilotage des programmes.</w:t>
      </w:r>
    </w:p>
    <w:p>
      <w:pPr>
        <w:pStyle w:val="ListBullet"/>
        <w:spacing w:after="40"/>
      </w:pPr>
      <w:r>
        <w:t>Charge administrative élevée : Rapports, comptes rendus, supports d’information et documents qualité consomment beaucoup de temps. La documentation non clinique gagne en vitesse, en propreté et en homogénéité.</w:t>
      </w:r>
    </w:p>
    <w:p>
      <w:pPr>
        <w:pStyle w:val="ListBullet"/>
        <w:spacing w:after="40"/>
      </w:pPr>
      <w:r>
        <w:t>Prévention et communication peu industrialisées : Les messages de sensibilisation, supports patients ou QVT sont produits lentement et de façon irrégulière. Les campagnes de prévention et fiches d’information sont plus faciles à produire et à adapter.</w:t>
      </w:r>
    </w:p>
    <w:p>
      <w:pPr>
        <w:pStyle w:val="ListBullet"/>
        <w:spacing w:after="40"/>
      </w:pPr>
      <w:r>
        <w:t>Retours terrain sous-exploités : Les verbatims, incidents, questionnaires et remontées terrain sont peu consolidés. Les équipes lisent mieux les signaux faibles et agissent plus tôt sur les irritants récurrents.</w:t>
      </w:r>
    </w:p>
    <w:p>
      <w:pPr>
        <w:pStyle w:val="ListBullet"/>
        <w:spacing w:after="40"/>
      </w:pPr>
      <w:r>
        <w:t>Gouvernance HSE ou QVT diffuse : Les responsables peinent à structurer les pratiques et à diffuser les standards. Les programmes gagnent en cohérence, en traçabilité et en cadre documentaire.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Santé / Clinique ; Santé / Hôpital ; Assurance ; Aide humanitaire / Éducation ; Développement durable.</w:t>
      </w:r>
    </w:p>
    <w:p>
      <w:pPr>
        <w:pStyle w:val="ListBullet"/>
        <w:spacing w:after="40"/>
      </w:pPr>
      <w:r>
        <w:t>Les enjeux confirmés au cadrage doivent être reliés à des priorités visibles pour la santé et le bien-être.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Documentation qualité et rapports non cliniques</w:t>
      </w:r>
      <w:r>
        <w:t xml:space="preserve"> : Les rapports et supports gagnent en vitesse de préparation et en cohérence documentaire. KPI de référence : Temps de rédaction ; nombre de documents conformes.</w:t>
      </w:r>
    </w:p>
    <w:p>
      <w:pPr>
        <w:pStyle w:val="ListBullet"/>
        <w:spacing w:after="40"/>
      </w:pPr>
      <w:r>
        <w:rPr>
          <w:b/>
        </w:rPr>
        <w:t>Prévention, sensibilisation et messages patients</w:t>
      </w:r>
      <w:r>
        <w:t xml:space="preserve"> : Les supports éducatifs et messages de sensibilisation se déclinent plus vite selon les publics. KPI de référence : Temps de production ; portée ou engagement.</w:t>
      </w:r>
    </w:p>
    <w:p>
      <w:pPr>
        <w:pStyle w:val="ListBullet"/>
        <w:spacing w:after="40"/>
      </w:pPr>
      <w:r>
        <w:rPr>
          <w:b/>
        </w:rPr>
        <w:t>Analyse des retours et incidents</w:t>
      </w:r>
      <w:r>
        <w:t xml:space="preserve"> : Les responsables relisent plus vite les motifs récurrents et les points de vigilance. KPI de référence : Temps d’analyse ; nombre d’actions correctives.</w:t>
      </w:r>
    </w:p>
    <w:p>
      <w:pPr>
        <w:pStyle w:val="ListBullet"/>
        <w:spacing w:after="40"/>
      </w:pPr>
      <w:r>
        <w:rPr>
          <w:b/>
        </w:rPr>
        <w:t>Pilotage QVT / HSE</w:t>
      </w:r>
      <w:r>
        <w:t xml:space="preserve"> : Les indicateurs, plans d’action et pratiques gagnent en continuité et en visibilité. KPI de référence : Rythme de mise à jour ; visibilité des plans d’action.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Santé &amp; Bien-être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d’établissements, coordination soignante, accueil, patient experience, support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25 à 45 % sur la documentation (rapports, fiches, supports, synthèses).</w:t>
      </w:r>
    </w:p>
    <w:p>
      <w:pPr>
        <w:pStyle w:val="ListBullet"/>
        <w:spacing w:after="40"/>
      </w:pPr>
      <w:r>
        <w:t>Campagnes plus rapides de prévention (supports, scripts, messages).</w:t>
      </w:r>
    </w:p>
    <w:p>
      <w:pPr>
        <w:pStyle w:val="ListBullet"/>
        <w:spacing w:after="40"/>
      </w:pPr>
      <w:r>
        <w:t>Lecture plus utile des retours terrain (incidents, satisfaction, signaux faibles).</w:t>
      </w:r>
    </w:p>
    <w:p>
      <w:pPr>
        <w:pStyle w:val="ListBullet"/>
        <w:spacing w:after="40"/>
      </w:pPr>
      <w:r>
        <w:t>Cadre plus homogène sur HSE et QVT (pratiques, messages, standards).</w:t>
      </w:r>
    </w:p>
    <w:p>
      <w:pPr>
        <w:pStyle w:val="ListBullet"/>
        <w:spacing w:after="40"/>
      </w:pPr>
      <w:r>
        <w:t>Une feuille de route claire sur les deux premiers cas d’usage à lancer dans la santé et le bien-être.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la santé et le bien-être.</w:t>
      </w:r>
    </w:p>
    <w:p>
      <w:pPr>
        <w:pStyle w:val="ListBullet"/>
        <w:spacing w:after="40"/>
      </w:pPr>
      <w:r>
        <w:t>Savoir structurer et piloter le cas d’usage « Documentation qualité et rapports non cliniques ».</w:t>
      </w:r>
    </w:p>
    <w:p>
      <w:pPr>
        <w:pStyle w:val="ListBullet"/>
        <w:spacing w:after="40"/>
      </w:pPr>
      <w:r>
        <w:t>Savoir structurer et piloter le cas d’usage « Prévention, sensibilisation et messages patients ».</w:t>
      </w:r>
    </w:p>
    <w:p>
      <w:pPr>
        <w:pStyle w:val="ListBullet"/>
        <w:spacing w:after="40"/>
      </w:pPr>
      <w:r>
        <w:t>Savoir structurer et piloter le cas d’usage « Analyse des retours et incidents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Le bon positionnement ici ne porte pas sur l’acte clinique lui-même. Il porte sur la qualité documentaire, la prévention, la communication et le pilotage des programmes.</w:t>
      </w:r>
    </w:p>
    <w:p>
      <w:pPr>
        <w:pStyle w:val="ListBullet"/>
        <w:spacing w:after="40"/>
      </w:pPr>
      <w:r>
        <w:t>Cartographie des priorités métier confirmées : Charge administrative élevée ; Prévention et communication peu industrialisées ; Retours terrain sous-exploités.</w:t>
      </w:r>
    </w:p>
    <w:p>
      <w:pPr>
        <w:pStyle w:val="ListBullet"/>
        <w:spacing w:after="40"/>
      </w:pPr>
      <w:r>
        <w:t>Études de cas guidées autour de « Documentation qualité et rapports non cliniques » et « Prévention, sensibilisation et messages patients ».</w:t>
      </w:r>
    </w:p>
    <w:p>
      <w:pPr>
        <w:pStyle w:val="ListBullet"/>
        <w:spacing w:after="40"/>
      </w:pPr>
      <w:r>
        <w:t>Méthodes, outils et gestes professionnels à partir des ancrages pédagogiques suivants : Prévention des Risques Professionnels avec l’IA ; Programmes de Santé au Travail avec l’IA ; QVT et IA : Qualité de Vie au Travail.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Analyse des retours et incidents » et « Pilotage QVT / HSE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Conformité HSE et IA ; Gestion des Accidents du Travail avec l’IA ; Télémédecine et IA en Entreprise.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la santé et le bien-être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Documentation qualité et rapports non cliniques » ; « Prévention, sensibilisation et messages patients » ; « Analyse des retours et incidents » ; « Pilotage QVT / HSE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Prévention des Risques Professionnels avec l’IA ; Programmes de Santé au Travail avec l’IA ; QVT et IA : Qualité de Vie au Travail ; Conformité HSE et 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Prévention des Risques Professionnels avec l’IA</w:t>
      </w:r>
    </w:p>
    <w:p>
      <w:pPr>
        <w:pStyle w:val="ListBullet"/>
        <w:spacing w:after="40"/>
      </w:pPr>
      <w:r>
        <w:t>Programmes de Santé au Travail avec l’IA</w:t>
      </w:r>
    </w:p>
    <w:p>
      <w:pPr>
        <w:pStyle w:val="ListBullet"/>
        <w:spacing w:after="40"/>
      </w:pPr>
      <w:r>
        <w:t>QVT et IA : Qualité de Vie au Travail</w:t>
      </w:r>
    </w:p>
    <w:p>
      <w:pPr>
        <w:pStyle w:val="ListBullet"/>
        <w:spacing w:after="40"/>
      </w:pPr>
      <w:r>
        <w:t>Conformité HSE et IA</w:t>
      </w:r>
    </w:p>
    <w:p>
      <w:pPr>
        <w:pStyle w:val="ListBullet"/>
        <w:spacing w:after="40"/>
      </w:pPr>
      <w:r>
        <w:t>Gestion des Accidents du Travail avec l’IA</w:t>
      </w:r>
    </w:p>
    <w:p>
      <w:pPr>
        <w:pStyle w:val="ListBullet"/>
        <w:spacing w:after="40"/>
      </w:pPr>
      <w:r>
        <w:t>Télémédecine et IA en Entreprise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