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0"/>
        <w:jc w:val="center"/>
        <w:pBdr>
          <w:bottom w:val="single" w:sz="8" w:space="1" w:color="D9E2F2"/>
        </w:pBdr>
      </w:pPr>
      <w:r>
        <w:t>TransferAI - Mini catalogue premium Service Client</w:t>
      </w:r>
    </w:p>
    <w:p>
      <w:pPr>
        <w:pStyle w:val="Subtitle"/>
        <w:spacing w:after="280"/>
        <w:jc w:val="center"/>
      </w:pPr>
      <w:r>
        <w:t>Catalogue ciblé par secteur | Formule prioritaire sur mesure | Édition du 2026-06-12 · Ce document est conçu pour des prospects de même univers métier. Il peut être adapté à une organisation précise après audit IA gratuit et échange expert de qualification.</w:t>
      </w:r>
    </w:p>
    <w:p>
      <w:pPr>
        <w:pStyle w:val="Heading1"/>
        <w:spacing w:before="200" w:after="60"/>
      </w:pPr>
      <w:r>
        <w:t>Fiche sectorielle 06 / 16</w:t>
      </w:r>
    </w:p>
    <w:p>
      <w:pPr>
        <w:pStyle w:val="Heading2"/>
        <w:spacing w:before="120" w:after="60"/>
      </w:pPr>
      <w:r>
        <w:t>Domaine de référence</w:t>
      </w:r>
    </w:p>
    <w:p>
      <w:pPr>
        <w:pStyle w:val="ListBullet"/>
        <w:spacing w:after="40"/>
      </w:pPr>
      <w:r>
        <w:t>Service Client | Contextes proches : Télécommunications ; Hôtellerie / Tourisme ; Logistique / Express ; Fintech / Mobile Money ; Santé / Clinique</w:t>
      </w:r>
    </w:p>
    <w:p>
      <w:pPr>
        <w:pStyle w:val="Heading2"/>
        <w:spacing w:before="120" w:after="60"/>
      </w:pPr>
      <w:r>
        <w:t>Enjeux sectoriels</w:t>
      </w:r>
    </w:p>
    <w:p>
      <w:pPr>
        <w:pStyle w:val="ListBullet"/>
        <w:spacing w:after="40"/>
      </w:pPr>
      <w:r>
        <w:t>Ici, l’IA doit d’abord rendre le service plus stable, plus rapide et mieux piloté. Le ROI se lit dans les temps de réponse, la résolution et la qualité de traitement.</w:t>
      </w:r>
    </w:p>
    <w:p>
      <w:pPr>
        <w:pStyle w:val="ListBullet"/>
        <w:spacing w:after="40"/>
      </w:pPr>
      <w:r>
        <w:t>Réponses hétérogènes : Les réponses varient selon les canaux, les personnes ou le niveau de pression opérationnelle. Des scripts, bases de réponse et assistants encadrés améliorent la cohérence sans rigidifier le service.</w:t>
      </w:r>
    </w:p>
    <w:p>
      <w:pPr>
        <w:pStyle w:val="ListBullet"/>
        <w:spacing w:after="40"/>
      </w:pPr>
      <w:r>
        <w:t>Traitement lent des demandes récurrentes : Les équipes passent trop de temps sur des requêtes simples mais nombreuses. Le premier niveau de réponse et de qualification s’accélère, ce qui libère du temps pour les cas sensibles.</w:t>
      </w:r>
    </w:p>
    <w:p>
      <w:pPr>
        <w:pStyle w:val="ListBullet"/>
        <w:spacing w:after="40"/>
      </w:pPr>
      <w:r>
        <w:t>Feedback client peu exploité : Les réclamations, verbatims et signaux faibles restent sous-analysés ou tardivement consolidés. Les retours clients deviennent plus exploitables pour corriger les parcours et les scripts.</w:t>
      </w:r>
    </w:p>
    <w:p>
      <w:pPr>
        <w:pStyle w:val="ListBullet"/>
        <w:spacing w:after="40"/>
      </w:pPr>
      <w:r>
        <w:t>Pilotage difficile : Les indicateurs existent mais les managers manquent de lecture rapide et actionnable. Les KPI de service sont mieux commentés et reliés à des actions concrètes d’amélioration.</w:t>
      </w:r>
    </w:p>
    <w:p>
      <w:pPr>
        <w:pStyle w:val="Heading2"/>
        <w:spacing w:before="120" w:after="60"/>
      </w:pPr>
      <w:r>
        <w:t>Contexte secteur à confirmer</w:t>
      </w:r>
    </w:p>
    <w:p>
      <w:pPr>
        <w:pStyle w:val="ListBullet"/>
        <w:spacing w:after="40"/>
      </w:pPr>
      <w:r>
        <w:t>Exemples de contextes proches : structures à forte volumétrie de demandes ; réseaux multi-sites ; environnements de support et de relation client.</w:t>
      </w:r>
    </w:p>
    <w:p>
      <w:pPr>
        <w:pStyle w:val="ListBullet"/>
        <w:spacing w:after="40"/>
      </w:pPr>
      <w:r>
        <w:t>Les enjeux confirmés au cadrage doivent être reliés à des priorités visibles pour le service client.</w:t>
      </w:r>
    </w:p>
    <w:p>
      <w:pPr>
        <w:pStyle w:val="ListBullet"/>
        <w:spacing w:after="40"/>
      </w:pPr>
      <w:r>
        <w:t>Le périmètre à confirmer peut concerner un site pilote, une direction donnée, une équipe support ou un processus transverse.</w:t>
      </w:r>
    </w:p>
    <w:p>
      <w:pPr>
        <w:pStyle w:val="ListBullet"/>
        <w:spacing w:after="40"/>
      </w:pPr>
      <w:r>
        <w:t>Les cas d’usage retenus doivent être validés selon les données disponibles, les règles de confidentialité et la capacité de supervision humaine.</w:t>
      </w:r>
    </w:p>
    <w:p>
      <w:pPr>
        <w:pStyle w:val="Heading2"/>
        <w:spacing w:before="120" w:after="60"/>
      </w:pPr>
      <w:r>
        <w:t>Cas d’usage TransferAI mis en avant</w:t>
      </w:r>
    </w:p>
    <w:p>
      <w:pPr>
        <w:pStyle w:val="ListBullet"/>
        <w:spacing w:after="40"/>
      </w:pPr>
      <w:r>
        <w:rPr>
          <w:b/>
        </w:rPr>
        <w:t>Assistant de réponse et FAQ métier</w:t>
      </w:r>
      <w:r>
        <w:t xml:space="preserve"> : Une assistance encadrée facilite la réponse, la reformulation et le rappel des bonnes consignes. KPI de référence : Temps moyen de réponse ; taux de validation premier jet.</w:t>
      </w:r>
    </w:p>
    <w:p>
      <w:pPr>
        <w:pStyle w:val="ListBullet"/>
        <w:spacing w:after="40"/>
      </w:pPr>
      <w:r>
        <w:rPr>
          <w:b/>
        </w:rPr>
        <w:t>Qualification et tri des demandes</w:t>
      </w:r>
      <w:r>
        <w:t xml:space="preserve"> : Les demandes sont mieux triées, résumées et routées avant traitement complet. KPI de référence : Temps de qualification ; délai d’escalade.</w:t>
      </w:r>
    </w:p>
    <w:p>
      <w:pPr>
        <w:pStyle w:val="ListBullet"/>
        <w:spacing w:after="40"/>
      </w:pPr>
      <w:r>
        <w:rPr>
          <w:b/>
        </w:rPr>
        <w:t>Analyse des réclamations et verbatims</w:t>
      </w:r>
      <w:r>
        <w:t xml:space="preserve"> : Les motifs, irritants et signaux faibles sont mieux regroupés et commentés pour les managers. KPI de référence : Temps d’analyse ; volume de motifs consolidés.</w:t>
      </w:r>
    </w:p>
    <w:p>
      <w:pPr>
        <w:pStyle w:val="ListBullet"/>
        <w:spacing w:after="40"/>
      </w:pPr>
      <w:r>
        <w:rPr>
          <w:b/>
        </w:rPr>
        <w:t>Pilotage omnicanal et satisfaction</w:t>
      </w:r>
      <w:r>
        <w:t xml:space="preserve"> : Le pilotage gagne en lisibilité avec des commentaires automatiques et des plans d’action plus nets. KPI de référence : CSAT / NPS ; réactivité de pilotage.</w:t>
      </w:r>
    </w:p>
    <w:p>
      <w:pPr>
        <w:pStyle w:val="Heading1"/>
        <w:spacing w:before="200" w:after="60"/>
      </w:pPr>
      <w:r>
        <w:t>Formule prioritaire recommandée</w:t>
      </w:r>
    </w:p>
    <w:p>
      <w:pPr>
        <w:pStyle w:val="Heading2"/>
        <w:spacing w:before="120" w:after="60"/>
      </w:pPr>
      <w:r>
        <w:t>Intitulé</w:t>
      </w:r>
    </w:p>
    <w:p>
      <w:pPr>
        <w:pStyle w:val="ListBullet"/>
        <w:spacing w:after="40"/>
      </w:pPr>
      <w:r>
        <w:t>Bootcamp IA sectoriel Service Client : de l’acculturation utile au premier pilote mesurable</w:t>
      </w:r>
    </w:p>
    <w:p>
      <w:pPr>
        <w:pStyle w:val="Heading2"/>
        <w:spacing w:before="120" w:after="60"/>
      </w:pPr>
      <w:r>
        <w:t>Public cible</w:t>
      </w:r>
    </w:p>
    <w:p>
      <w:pPr>
        <w:pStyle w:val="ListBullet"/>
        <w:spacing w:after="40"/>
      </w:pPr>
      <w:r>
        <w:t>Directions relation client, centres de contact, support, qualité de service, supervision</w:t>
      </w:r>
    </w:p>
    <w:p>
      <w:pPr>
        <w:pStyle w:val="Heading2"/>
        <w:spacing w:before="120" w:after="60"/>
      </w:pPr>
      <w:r>
        <w:t>Formats possibles</w:t>
      </w:r>
    </w:p>
    <w:p>
      <w:pPr>
        <w:pStyle w:val="ListBullet"/>
        <w:spacing w:after="40"/>
      </w:pPr>
      <w:r>
        <w:t>Présentiel</w:t>
      </w:r>
    </w:p>
    <w:p>
      <w:pPr>
        <w:pStyle w:val="ListBullet"/>
        <w:spacing w:after="40"/>
      </w:pPr>
      <w:r>
        <w:t>Hybride</w:t>
      </w:r>
    </w:p>
    <w:p>
      <w:pPr>
        <w:pStyle w:val="ListBullet"/>
        <w:spacing w:after="40"/>
      </w:pPr>
      <w:r>
        <w:t>En ligne (style webinaire)</w:t>
      </w:r>
    </w:p>
    <w:p>
      <w:pPr>
        <w:pStyle w:val="Heading2"/>
        <w:spacing w:before="120" w:after="60"/>
      </w:pPr>
      <w:r>
        <w:t>Niveaux</w:t>
      </w:r>
    </w:p>
    <w:p>
      <w:pPr>
        <w:pStyle w:val="ListBullet"/>
        <w:spacing w:after="40"/>
      </w:pPr>
      <w:r>
        <w:t>Débutant</w:t>
      </w:r>
    </w:p>
    <w:p>
      <w:pPr>
        <w:pStyle w:val="ListBullet"/>
        <w:spacing w:after="40"/>
      </w:pPr>
      <w:r>
        <w:t>Intermédiaire</w:t>
      </w:r>
    </w:p>
    <w:p>
      <w:pPr>
        <w:pStyle w:val="ListBullet"/>
        <w:spacing w:after="40"/>
      </w:pPr>
      <w:r>
        <w:t>Avancé</w:t>
      </w:r>
    </w:p>
    <w:p>
      <w:pPr>
        <w:pStyle w:val="Heading2"/>
        <w:spacing w:before="120" w:after="60"/>
      </w:pPr>
      <w:r>
        <w:t>Durée</w:t>
      </w:r>
    </w:p>
    <w:p>
      <w:pPr>
        <w:pStyle w:val="ListBullet"/>
        <w:spacing w:after="40"/>
      </w:pPr>
      <w:r>
        <w:t>1 jour : version décideurs et managers</w:t>
      </w:r>
    </w:p>
    <w:p>
      <w:pPr>
        <w:pStyle w:val="ListBullet"/>
        <w:spacing w:after="40"/>
      </w:pPr>
      <w:r>
        <w:t>2 jours : version équipes, managers et mise en pratique</w:t>
      </w:r>
    </w:p>
    <w:p>
      <w:pPr>
        <w:pStyle w:val="Heading2"/>
        <w:spacing w:before="120" w:after="60"/>
      </w:pPr>
      <w:r>
        <w:t>Tarif</w:t>
      </w:r>
    </w:p>
    <w:p>
      <w:pPr>
        <w:pStyle w:val="ListBullet"/>
        <w:spacing w:after="40"/>
      </w:pPr>
      <w:r>
        <w:t>Prix sur demande</w:t>
      </w:r>
    </w:p>
    <w:p>
      <w:pPr>
        <w:pStyle w:val="Heading2"/>
        <w:spacing w:before="120" w:after="60"/>
      </w:pPr>
      <w:r>
        <w:t>Résultats attendus</w:t>
      </w:r>
    </w:p>
    <w:p>
      <w:pPr>
        <w:pStyle w:val="ListBullet"/>
        <w:spacing w:after="40"/>
      </w:pPr>
      <w:r>
        <w:t>20 à 40 % sur les délais de réponse (demandes simples et récurrentes).</w:t>
      </w:r>
    </w:p>
    <w:p>
      <w:pPr>
        <w:pStyle w:val="ListBullet"/>
        <w:spacing w:after="40"/>
      </w:pPr>
      <w:r>
        <w:t>Plus de cohérence sur plusieurs canaux (scripts, FAQ, réponses types).</w:t>
      </w:r>
    </w:p>
    <w:p>
      <w:pPr>
        <w:pStyle w:val="ListBullet"/>
        <w:spacing w:after="40"/>
      </w:pPr>
      <w:r>
        <w:t>Feedback plus lisible pour les managers (réclamations et verbatims).</w:t>
      </w:r>
    </w:p>
    <w:p>
      <w:pPr>
        <w:pStyle w:val="ListBullet"/>
        <w:spacing w:after="40"/>
      </w:pPr>
      <w:r>
        <w:t>Meilleure résolution au premier niveau (qualification et orientation).</w:t>
      </w:r>
    </w:p>
    <w:p>
      <w:pPr>
        <w:pStyle w:val="ListBullet"/>
        <w:spacing w:after="40"/>
      </w:pPr>
      <w:r>
        <w:t>Une feuille de route claire sur les deux premiers cas d’usage à lancer dans le service client.</w:t>
      </w:r>
    </w:p>
    <w:p>
      <w:pPr>
        <w:pStyle w:val="ListBullet"/>
        <w:spacing w:after="40"/>
      </w:pPr>
      <w:r>
        <w:t>Une meilleure capacité à relier formation, gouvernance, pilote et retour sur investissement visible.</w:t>
      </w:r>
    </w:p>
    <w:p>
      <w:pPr>
        <w:pStyle w:val="Heading2"/>
        <w:spacing w:before="120" w:after="60"/>
      </w:pPr>
      <w:r>
        <w:t>Objectifs pédagogiques</w:t>
      </w:r>
    </w:p>
    <w:p>
      <w:pPr>
        <w:pStyle w:val="ListBullet"/>
        <w:spacing w:after="40"/>
      </w:pPr>
      <w:r>
        <w:t>Identifier les priorités métier les plus crédibles à traiter par l’IA dans le service client.</w:t>
      </w:r>
    </w:p>
    <w:p>
      <w:pPr>
        <w:pStyle w:val="ListBullet"/>
        <w:spacing w:after="40"/>
      </w:pPr>
      <w:r>
        <w:t>Savoir structurer et piloter le cas d’usage « Assistant de réponse et FAQ métier ».</w:t>
      </w:r>
    </w:p>
    <w:p>
      <w:pPr>
        <w:pStyle w:val="ListBullet"/>
        <w:spacing w:after="40"/>
      </w:pPr>
      <w:r>
        <w:t>Savoir structurer et piloter le cas d’usage « Qualification et tri des demandes ».</w:t>
      </w:r>
    </w:p>
    <w:p>
      <w:pPr>
        <w:pStyle w:val="ListBullet"/>
        <w:spacing w:after="40"/>
      </w:pPr>
      <w:r>
        <w:t>Savoir structurer et piloter le cas d’usage « Analyse des réclamations et verbatims ».</w:t>
      </w:r>
    </w:p>
    <w:p>
      <w:pPr>
        <w:pStyle w:val="ListBullet"/>
        <w:spacing w:after="40"/>
      </w:pPr>
      <w:r>
        <w:t>Distinguer les usages immédiatement activables, les usages à encadrer et les usages à piloter dans le temps.</w:t>
      </w:r>
    </w:p>
    <w:p>
      <w:pPr>
        <w:pStyle w:val="ListBullet"/>
        <w:spacing w:after="40"/>
      </w:pPr>
      <w:r>
        <w:t>Définir des KPI simples, un cadre de confiance et un premier plan d’action à 90 jours.</w:t>
      </w:r>
    </w:p>
    <w:p>
      <w:pPr>
        <w:pStyle w:val="Heading2"/>
        <w:spacing w:before="120" w:after="60"/>
      </w:pPr>
      <w:r>
        <w:t>Programme</w:t>
      </w:r>
    </w:p>
    <w:p>
      <w:pPr>
        <w:pStyle w:val="Heading3"/>
        <w:spacing w:before="120" w:after="60"/>
      </w:pPr>
      <w:r>
        <w:t>Jour 1</w:t>
      </w:r>
    </w:p>
    <w:p>
      <w:pPr>
        <w:pStyle w:val="ListBullet"/>
        <w:spacing w:after="40"/>
      </w:pPr>
      <w:r>
        <w:t>Lecture des enjeux sectoriels : Ici, l’IA doit d’abord rendre le service plus stable, plus rapide et mieux piloté. Le ROI se lit dans les temps de réponse, la résolution et la qualité de traitement.</w:t>
      </w:r>
    </w:p>
    <w:p>
      <w:pPr>
        <w:pStyle w:val="ListBullet"/>
        <w:spacing w:after="40"/>
      </w:pPr>
      <w:r>
        <w:t>Cartographie des priorités métier confirmées : Réponses hétérogènes ; Traitement lent des demandes récurrentes ; Feedback client peu exploité.</w:t>
      </w:r>
    </w:p>
    <w:p>
      <w:pPr>
        <w:pStyle w:val="ListBullet"/>
        <w:spacing w:after="40"/>
      </w:pPr>
      <w:r>
        <w:t>Études de cas guidées autour de « Assistant de réponse et FAQ métier » et « Qualification et tri des demandes ».</w:t>
      </w:r>
    </w:p>
    <w:p>
      <w:pPr>
        <w:pStyle w:val="ListBullet"/>
        <w:spacing w:after="40"/>
      </w:pPr>
      <w:r>
        <w:t>Méthodes, outils et gestes professionnels à partir des ancrages pédagogiques suivants : Chatbots Intelligents pour le Service Client ; Expérience Client Omnicanale avec l’IA ; Analyse de Sentiment et Feedback Client.</w:t>
      </w:r>
    </w:p>
    <w:p>
      <w:pPr>
        <w:pStyle w:val="ListBullet"/>
        <w:spacing w:after="40"/>
      </w:pPr>
      <w:r>
        <w:t>Cadre de confiance : confidentialité, supervision humaine, validation managériale et critères d’extension.</w:t>
      </w:r>
    </w:p>
    <w:p>
      <w:pPr>
        <w:pStyle w:val="Heading3"/>
        <w:spacing w:before="120" w:after="60"/>
      </w:pPr>
      <w:r>
        <w:t>Jour 2</w:t>
      </w:r>
    </w:p>
    <w:p>
      <w:pPr>
        <w:pStyle w:val="ListBullet"/>
        <w:spacing w:after="40"/>
      </w:pPr>
      <w:r>
        <w:t>Cette journée s’active lorsque la formule 2 jours est retenue.</w:t>
      </w:r>
    </w:p>
    <w:p>
      <w:pPr>
        <w:pStyle w:val="ListBullet"/>
        <w:spacing w:after="40"/>
      </w:pPr>
      <w:r>
        <w:t>Ateliers de conception sur « Analyse des réclamations et verbatims » et « Pilotage omnicanal et satisfaction ».</w:t>
      </w:r>
    </w:p>
    <w:p>
      <w:pPr>
        <w:pStyle w:val="ListBullet"/>
        <w:spacing w:after="40"/>
      </w:pPr>
      <w:r>
        <w:t>Construction de prompts, trames, routines et scénarios d’usage adaptés au terrain.</w:t>
      </w:r>
    </w:p>
    <w:p>
      <w:pPr>
        <w:pStyle w:val="ListBullet"/>
        <w:spacing w:after="40"/>
      </w:pPr>
      <w:r>
        <w:t>Approfondissements recommandés : Gestion des Réclamations Automatisée ; Mesurer la Satisfaction Client avec l’IA ; Personnalisation du Parcours Client avec l’IA.</w:t>
      </w:r>
    </w:p>
    <w:p>
      <w:pPr>
        <w:pStyle w:val="ListBullet"/>
        <w:spacing w:after="40"/>
      </w:pPr>
      <w:r>
        <w:t>Définition du premier pilote, des livrables attendus et des KPI de suivi.</w:t>
      </w:r>
    </w:p>
    <w:p>
      <w:pPr>
        <w:pStyle w:val="ListBullet"/>
        <w:spacing w:after="40"/>
      </w:pPr>
      <w:r>
        <w:t>Plan d’action à 90 jours : séquencement, populations à former, gouvernance et arbitrages de déploiement.</w:t>
      </w:r>
    </w:p>
    <w:p>
      <w:pPr>
        <w:pStyle w:val="Heading2"/>
        <w:spacing w:before="120" w:after="60"/>
      </w:pPr>
      <w:r>
        <w:t>Livrables / attendus</w:t>
      </w:r>
    </w:p>
    <w:p>
      <w:pPr>
        <w:pStyle w:val="ListBullet"/>
        <w:spacing w:after="40"/>
      </w:pPr>
      <w:r>
        <w:t>Une note de cadrage sectorielle pour le service client avec priorités confirmées, risques et premières décisions.</w:t>
      </w:r>
    </w:p>
    <w:p>
      <w:pPr>
        <w:pStyle w:val="ListBullet"/>
        <w:spacing w:after="40"/>
      </w:pPr>
      <w:r>
        <w:t>Une matrice des cas d’usage prioritaires incluant « Assistant de réponse et FAQ métier » ; « Qualification et tri des demandes » ; « Analyse des réclamations et verbatims » ; « Pilotage omnicanal et satisfaction ».</w:t>
      </w:r>
    </w:p>
    <w:p>
      <w:pPr>
        <w:pStyle w:val="ListBullet"/>
        <w:spacing w:after="40"/>
      </w:pPr>
      <w:r>
        <w:t>Un canevas de pilote à 90 jours avec KPI, rôles, supervision et critères de succès.</w:t>
      </w:r>
    </w:p>
    <w:p>
      <w:pPr>
        <w:pStyle w:val="ListBullet"/>
        <w:spacing w:after="40"/>
      </w:pPr>
      <w:r>
        <w:t>Une recommandation de parcours de montée en compétences à partir de : Chatbots Intelligents pour le Service Client ; Expérience Client Omnicanale avec l’IA ; Analyse de Sentiment et Feedback Client ; Gestion des Réclamations Automatisée.</w:t>
      </w:r>
    </w:p>
    <w:p>
      <w:pPr>
        <w:pStyle w:val="Heading2"/>
        <w:spacing w:before="120" w:after="60"/>
      </w:pPr>
      <w:r>
        <w:t>Ancrages pédagogiques recommandés</w:t>
      </w:r>
    </w:p>
    <w:p>
      <w:pPr>
        <w:pStyle w:val="ListBullet"/>
        <w:spacing w:after="40"/>
      </w:pPr>
      <w:r>
        <w:t>Chatbots Intelligents pour le Service Client</w:t>
      </w:r>
    </w:p>
    <w:p>
      <w:pPr>
        <w:pStyle w:val="ListBullet"/>
        <w:spacing w:after="40"/>
      </w:pPr>
      <w:r>
        <w:t>Expérience Client Omnicanale avec l’IA</w:t>
      </w:r>
    </w:p>
    <w:p>
      <w:pPr>
        <w:pStyle w:val="ListBullet"/>
        <w:spacing w:after="40"/>
      </w:pPr>
      <w:r>
        <w:t>Analyse de Sentiment et Feedback Client</w:t>
      </w:r>
    </w:p>
    <w:p>
      <w:pPr>
        <w:pStyle w:val="ListBullet"/>
        <w:spacing w:after="40"/>
      </w:pPr>
      <w:r>
        <w:t>Gestion des Réclamations Automatisée</w:t>
      </w:r>
    </w:p>
    <w:p>
      <w:pPr>
        <w:pStyle w:val="ListBullet"/>
        <w:spacing w:after="40"/>
      </w:pPr>
      <w:r>
        <w:t>Mesurer la Satisfaction Client avec l’IA</w:t>
      </w:r>
    </w:p>
    <w:p>
      <w:pPr>
        <w:pStyle w:val="ListBullet"/>
        <w:spacing w:after="40"/>
      </w:pPr>
      <w:r>
        <w:t>Personnalisation du Parcours Client avec l’IA</w:t>
      </w:r>
    </w:p>
    <w:p>
      <w:pPr>
        <w:pStyle w:val="Heading2"/>
        <w:spacing w:before="120" w:after="60"/>
      </w:pPr>
      <w:r>
        <w:t>Mention de personnalisation</w:t>
      </w:r>
    </w:p>
    <w:p>
      <w:pPr>
        <w:pStyle w:val="ListBullet"/>
        <w:spacing w:after="40"/>
      </w:pPr>
      <w:r>
        <w:t>Le contenu final est ajusté après qualification du contexte, des outils déjà utilisés, des données disponibles et des arbitrages de confidentialité propres au prospect.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2B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E5D8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2B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5B6B7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