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Bdr>
          <w:bottom w:val="single" w:sz="8" w:space="1" w:color="D9E2F2"/>
        </w:pBdr>
      </w:pPr>
      <w:r>
        <w:t>TransferAI - Mini catalogue premium Télécommunications</w:t>
      </w:r>
    </w:p>
    <w:p>
      <w:pPr>
        <w:pStyle w:val="Subtitle"/>
        <w:spacing w:after="280"/>
        <w:jc w:val="center"/>
      </w:pPr>
      <w:r>
        <w:t>Catalogue ciblé par secteur | Formule prioritaire sur mesure | Édition du 2026-06-12 · Ce document est conçu pour des prospects de même univers métier. Il peut être adapté à une organisation précise après audit IA gratuit et échange expert de qualification.</w:t>
      </w:r>
    </w:p>
    <w:p>
      <w:pPr>
        <w:pStyle w:val="Heading1"/>
        <w:spacing w:before="200" w:after="60"/>
      </w:pPr>
      <w:r>
        <w:t>Fiche sectorielle 16 / 16</w:t>
      </w:r>
    </w:p>
    <w:p>
      <w:pPr>
        <w:pStyle w:val="Heading2"/>
        <w:spacing w:before="120" w:after="60"/>
      </w:pPr>
      <w:r>
        <w:t>Domaine de référence</w:t>
      </w:r>
    </w:p>
    <w:p>
      <w:pPr>
        <w:pStyle w:val="ListBullet"/>
        <w:spacing w:after="40"/>
      </w:pPr>
      <w:r>
        <w:t>Télécommunications | Contextes proches : Opérateur mobile intégré ; Internet / Fibre ; Service client multi-canaux ; Distribution télécom ; Mobile money / services digitaux</w:t>
      </w:r>
    </w:p>
    <w:p>
      <w:pPr>
        <w:pStyle w:val="Heading2"/>
        <w:spacing w:before="120" w:after="60"/>
      </w:pPr>
      <w:r>
        <w:t>Enjeux sectoriels</w:t>
      </w:r>
    </w:p>
    <w:p>
      <w:pPr>
        <w:pStyle w:val="ListBullet"/>
        <w:spacing w:after="40"/>
      </w:pPr>
      <w:r>
        <w:t>Dans les télécommunications, la valeur de l’IA se lit rapidement dans la stabilité du service, la vitesse de réponse client, la lisibilité des incidents, la qualité commerciale et la coordination entre les équipes réseau, relation client et management.</w:t>
      </w:r>
    </w:p>
    <w:p>
      <w:pPr>
        <w:pStyle w:val="ListBullet"/>
        <w:spacing w:after="40"/>
      </w:pPr>
      <w:r>
        <w:t>Incidents réseau mal relayés : Les informations techniques circulent, mais les impacts client et les arbitrages opérationnels sont parfois relayés trop tard. Les incidents sont synthétisés plus tôt, mieux qualifiés et plus facilement traduits en messages utiles pour les équipes concernées.</w:t>
      </w:r>
    </w:p>
    <w:p>
      <w:pPr>
        <w:pStyle w:val="ListBullet"/>
        <w:spacing w:after="40"/>
      </w:pPr>
      <w:r>
        <w:t>Relation client sous pression : Les demandes récurrentes, réclamations et retours d’expérience saturent les équipes de front et compliquent l’homogénéité du service. Les réponses, scripts, synthèses et parcours de traitement deviennent plus cohérents, plus rapides et plus pilotables.</w:t>
      </w:r>
    </w:p>
    <w:p>
      <w:pPr>
        <w:pStyle w:val="ListBullet"/>
        <w:spacing w:after="40"/>
      </w:pPr>
      <w:r>
        <w:t>Lecture commerciale dispersée : Les signaux sur churn, upsell, satisfaction ou qualité de service existent mais restent difficiles à prioriser rapidement. Les managers accèdent à une lecture plus claire des signaux prioritaires et des actions à déclencher.</w:t>
      </w:r>
    </w:p>
    <w:p>
      <w:pPr>
        <w:pStyle w:val="ListBullet"/>
        <w:spacing w:after="40"/>
      </w:pPr>
      <w:r>
        <w:t>Coordination interéquipes perfectible : Réseau, service client, marketing et direction ne partagent pas toujours la même lecture du terrain au même moment. Les équipes gagnent une base commune de synthèse, de langage et de pilotage orientée résultats.</w:t>
      </w:r>
    </w:p>
    <w:p>
      <w:pPr>
        <w:pStyle w:val="Heading2"/>
        <w:spacing w:before="120" w:after="60"/>
      </w:pPr>
      <w:r>
        <w:t>Contexte secteur à confirmer</w:t>
      </w:r>
    </w:p>
    <w:p>
      <w:pPr>
        <w:pStyle w:val="ListBullet"/>
        <w:spacing w:after="40"/>
      </w:pPr>
      <w:r>
        <w:t>Exemples de contextes proches : Orange Côte d’Ivoire ; opérateurs télécoms intégrés ; acteurs mobile money et data.</w:t>
      </w:r>
    </w:p>
    <w:p>
      <w:pPr>
        <w:pStyle w:val="ListBullet"/>
        <w:spacing w:after="40"/>
      </w:pPr>
      <w:r>
        <w:t>Les enjeux confirmés au cadrage doivent être reliés à des priorités visibles pour les télécommunications.</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Centre de contact augmenté par l’IA</w:t>
      </w:r>
      <w:r>
        <w:t xml:space="preserve"> : Les scripts, réponses assistées, résumés et routages deviennent plus homogènes et plus rapides. KPI de référence : Temps moyen de réponse ; taux de résolution au premier contact.</w:t>
      </w:r>
    </w:p>
    <w:p>
      <w:pPr>
        <w:pStyle w:val="ListBullet"/>
        <w:spacing w:after="40"/>
      </w:pPr>
      <w:r>
        <w:rPr>
          <w:b/>
        </w:rPr>
        <w:t>Synthèse d’incidents réseau et communication interne</w:t>
      </w:r>
      <w:r>
        <w:t xml:space="preserve"> : Une synthèse plus lisible aide à coordonner exploitation, service client, direction et communication de crise. KPI de référence : Temps de diffusion d’une synthèse fiable ; délai de coordination.</w:t>
      </w:r>
    </w:p>
    <w:p>
      <w:pPr>
        <w:pStyle w:val="ListBullet"/>
        <w:spacing w:after="40"/>
      </w:pPr>
      <w:r>
        <w:rPr>
          <w:b/>
        </w:rPr>
        <w:t>Lecture des verbatims clients et signaux de churn</w:t>
      </w:r>
      <w:r>
        <w:t xml:space="preserve"> : L’IA aide à regrouper les motifs, signaux faibles et tendances d’insatisfaction de façon plus exploitable. KPI de référence : Délai d’analyse ; nombre de signaux priorisés.</w:t>
      </w:r>
    </w:p>
    <w:p>
      <w:pPr>
        <w:pStyle w:val="ListBullet"/>
        <w:spacing w:after="40"/>
      </w:pPr>
      <w:r>
        <w:rPr>
          <w:b/>
        </w:rPr>
        <w:t>Pilotage commercial et qualité de service</w:t>
      </w:r>
      <w:r>
        <w:t xml:space="preserve"> : Les managers disposent de commentaires plus utiles et d’une lecture plus actionnable des arbitrages. KPI de référence : Temps de préparation d’un comité ; vitesse de décision.</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Télécommunications : de l’acculturation utile au premier pilote mesurable</w:t>
      </w:r>
    </w:p>
    <w:p>
      <w:pPr>
        <w:pStyle w:val="Heading2"/>
        <w:spacing w:before="120" w:after="60"/>
      </w:pPr>
      <w:r>
        <w:t>Public cible</w:t>
      </w:r>
    </w:p>
    <w:p>
      <w:pPr>
        <w:pStyle w:val="ListBullet"/>
        <w:spacing w:after="40"/>
      </w:pPr>
      <w:r>
        <w:t>Direction générale, service client, opérations réseau, marketing, vente B2B/B2C, qualité de service, mobile money</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Réponses plus rapides sur les canaux clients (scripts, synthèses et qualification initiale).</w:t>
      </w:r>
    </w:p>
    <w:p>
      <w:pPr>
        <w:pStyle w:val="ListBullet"/>
        <w:spacing w:after="40"/>
      </w:pPr>
      <w:r>
        <w:t>Incidents mieux pilotés côté réseau et exploitation (lecture commune des impacts et priorités).</w:t>
      </w:r>
    </w:p>
    <w:p>
      <w:pPr>
        <w:pStyle w:val="ListBullet"/>
        <w:spacing w:after="40"/>
      </w:pPr>
      <w:r>
        <w:t>Churn mieux anticipé dans les signaux faibles (verbatims, usages, motifs d’insatisfaction).</w:t>
      </w:r>
    </w:p>
    <w:p>
      <w:pPr>
        <w:pStyle w:val="ListBullet"/>
        <w:spacing w:after="40"/>
      </w:pPr>
      <w:r>
        <w:t>Managers mieux alignés sur les arbitrages (KPI, alertes et messages homogènes).</w:t>
      </w:r>
    </w:p>
    <w:p>
      <w:pPr>
        <w:pStyle w:val="ListBullet"/>
        <w:spacing w:after="40"/>
      </w:pPr>
      <w:r>
        <w:t>Une feuille de route claire sur les deux premiers cas d’usage à lancer dans les télécommunications.</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les télécommunications.</w:t>
      </w:r>
    </w:p>
    <w:p>
      <w:pPr>
        <w:pStyle w:val="ListBullet"/>
        <w:spacing w:after="40"/>
      </w:pPr>
      <w:r>
        <w:t>Savoir structurer et piloter le cas d’usage « Centre de contact augmenté par l’IA ».</w:t>
      </w:r>
    </w:p>
    <w:p>
      <w:pPr>
        <w:pStyle w:val="ListBullet"/>
        <w:spacing w:after="40"/>
      </w:pPr>
      <w:r>
        <w:t>Savoir structurer et piloter le cas d’usage « Synthèse d’incidents réseau et communication interne ».</w:t>
      </w:r>
    </w:p>
    <w:p>
      <w:pPr>
        <w:pStyle w:val="ListBullet"/>
        <w:spacing w:after="40"/>
      </w:pPr>
      <w:r>
        <w:t>Savoir structurer et piloter le cas d’usage « Lecture des verbatims clients et signaux de churn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Dans les télécommunications, la valeur de l’IA se lit rapidement dans la stabilité du service, la vitesse de réponse client, la lisibilité des incidents, la qualité commerciale et la coordination entre les équipes réseau, relation client et management.</w:t>
      </w:r>
    </w:p>
    <w:p>
      <w:pPr>
        <w:pStyle w:val="ListBullet"/>
        <w:spacing w:after="40"/>
      </w:pPr>
      <w:r>
        <w:t>Cartographie des priorités métier confirmées : Incidents réseau mal relayés ; Relation client sous pression ; Lecture commerciale dispersée.</w:t>
      </w:r>
    </w:p>
    <w:p>
      <w:pPr>
        <w:pStyle w:val="ListBullet"/>
        <w:spacing w:after="40"/>
      </w:pPr>
      <w:r>
        <w:t>Études de cas guidées autour de « Centre de contact augmenté par l’IA » et « Synthèse d’incidents réseau et communication interne ».</w:t>
      </w:r>
    </w:p>
    <w:p>
      <w:pPr>
        <w:pStyle w:val="ListBullet"/>
        <w:spacing w:after="40"/>
      </w:pPr>
      <w:r>
        <w:t>Méthodes, outils et gestes professionnels à partir des ancrages pédagogiques suivants : Service Client Augmenté par l’IA ; Analyse de Sentiment et Feedback Client ; Relation Client Augmentée par l’IA.</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Lecture des verbatims clients et signaux de churn » et « Pilotage commercial et qualité de service ».</w:t>
      </w:r>
    </w:p>
    <w:p>
      <w:pPr>
        <w:pStyle w:val="ListBullet"/>
        <w:spacing w:after="40"/>
      </w:pPr>
      <w:r>
        <w:t>Construction de prompts, trames, routines et scénarios d’usage adaptés au terrain.</w:t>
      </w:r>
    </w:p>
    <w:p>
      <w:pPr>
        <w:pStyle w:val="ListBullet"/>
        <w:spacing w:after="40"/>
      </w:pPr>
      <w:r>
        <w:t>Approfondissements recommandés : Pilotage Réseau et Qualité de Service avec l’IA ; Marketing Télécom et Personnalisation IA ; Leadership Data-Driven avec l’IA.</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les télécommunications avec priorités confirmées, risques et premières décisions.</w:t>
      </w:r>
    </w:p>
    <w:p>
      <w:pPr>
        <w:pStyle w:val="ListBullet"/>
        <w:spacing w:after="40"/>
      </w:pPr>
      <w:r>
        <w:t>Une matrice des cas d’usage prioritaires incluant « Centre de contact augmenté par l’IA » ; « Synthèse d’incidents réseau et communication interne » ; « Lecture des verbatims clients et signaux de churn » ; « Pilotage commercial et qualité de service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Service Client Augmenté par l’IA ; Analyse de Sentiment et Feedback Client ; Relation Client Augmentée par l’IA ; Pilotage Réseau et Qualité de Service avec l’IA.</w:t>
      </w:r>
    </w:p>
    <w:p>
      <w:pPr>
        <w:pStyle w:val="Heading2"/>
        <w:spacing w:before="120" w:after="60"/>
      </w:pPr>
      <w:r>
        <w:t>Ancrages pédagogiques recommandés</w:t>
      </w:r>
    </w:p>
    <w:p>
      <w:pPr>
        <w:pStyle w:val="ListBullet"/>
        <w:spacing w:after="40"/>
      </w:pPr>
      <w:r>
        <w:t>Service Client Augmenté par l’IA</w:t>
      </w:r>
    </w:p>
    <w:p>
      <w:pPr>
        <w:pStyle w:val="ListBullet"/>
        <w:spacing w:after="40"/>
      </w:pPr>
      <w:r>
        <w:t>Analyse de Sentiment et Feedback Client</w:t>
      </w:r>
    </w:p>
    <w:p>
      <w:pPr>
        <w:pStyle w:val="ListBullet"/>
        <w:spacing w:after="40"/>
      </w:pPr>
      <w:r>
        <w:t>Relation Client Augmentée par l’IA</w:t>
      </w:r>
    </w:p>
    <w:p>
      <w:pPr>
        <w:pStyle w:val="ListBullet"/>
        <w:spacing w:after="40"/>
      </w:pPr>
      <w:r>
        <w:t>Pilotage Réseau et Qualité de Service avec l’IA</w:t>
      </w:r>
    </w:p>
    <w:p>
      <w:pPr>
        <w:pStyle w:val="ListBullet"/>
        <w:spacing w:after="40"/>
      </w:pPr>
      <w:r>
        <w:t>Marketing Télécom et Personnalisation IA</w:t>
      </w:r>
    </w:p>
    <w:p>
      <w:pPr>
        <w:pStyle w:val="ListBullet"/>
        <w:spacing w:after="40"/>
      </w:pPr>
      <w:r>
        <w:t>Leadership Data-Driven avec l’IA</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