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jc w:val="center"/>
        <w:pBdr>
          <w:bottom w:val="single" w:sz="8" w:space="1" w:color="D9E2F2"/>
        </w:pBdr>
      </w:pPr>
      <w:r>
        <w:t>TransferAI - Mini catalogue premium Transport &amp; Logistique</w:t>
      </w:r>
    </w:p>
    <w:p>
      <w:pPr>
        <w:pStyle w:val="Subtitle"/>
        <w:spacing w:after="280"/>
        <w:jc w:val="center"/>
      </w:pPr>
      <w:r>
        <w:t>Catalogue ciblé par secteur | Formule prioritaire sur mesure | Édition du 2026-06-12 · Ce document est conçu pour des prospects de même univers métier. Il peut être adapté à une organisation précise après audit IA gratuit et échange expert de qualification.</w:t>
      </w:r>
    </w:p>
    <w:p>
      <w:pPr>
        <w:pStyle w:val="Heading1"/>
        <w:spacing w:before="200" w:after="60"/>
      </w:pPr>
      <w:r>
        <w:t>Fiche sectorielle 14 / 16</w:t>
      </w:r>
    </w:p>
    <w:p>
      <w:pPr>
        <w:pStyle w:val="Heading2"/>
        <w:spacing w:before="120" w:after="60"/>
      </w:pPr>
      <w:r>
        <w:t>Domaine de référence</w:t>
      </w:r>
    </w:p>
    <w:p>
      <w:pPr>
        <w:pStyle w:val="ListBullet"/>
        <w:spacing w:after="40"/>
      </w:pPr>
      <w:r>
        <w:t>Transport &amp; Logistique | Contextes proches : Logistique / Express ; Logistique portuaire ; Transport en commun ; Transport ferroviaire ; Transport / Mobilité</w:t>
      </w:r>
    </w:p>
    <w:p>
      <w:pPr>
        <w:pStyle w:val="Heading2"/>
        <w:spacing w:before="120" w:after="60"/>
      </w:pPr>
      <w:r>
        <w:t>Enjeux sectoriels</w:t>
      </w:r>
    </w:p>
    <w:p>
      <w:pPr>
        <w:pStyle w:val="ListBullet"/>
        <w:spacing w:after="40"/>
      </w:pPr>
      <w:r>
        <w:t>Le retour sur investissement se joue ici sur la coordination terrain, la réduction des retards, la lecture des anomalies, la fluidité du service et la capacité à mieux commenter les opérations.</w:t>
      </w:r>
    </w:p>
    <w:p>
      <w:pPr>
        <w:pStyle w:val="ListBullet"/>
        <w:spacing w:after="40"/>
      </w:pPr>
      <w:r>
        <w:t>Informations terrain dispersées : Les opérations, incidents, tournées et retards remontent par plusieurs canaux et sont difficiles à consolider. Les équipes gagnent des synthèses plus rapides et une meilleure visibilité sur les priorités d’action.</w:t>
      </w:r>
    </w:p>
    <w:p>
      <w:pPr>
        <w:pStyle w:val="ListBullet"/>
        <w:spacing w:after="40"/>
      </w:pPr>
      <w:r>
        <w:t>Pilotage des flux peu commenté : Les KPI existent mais restent peu reliés à des analyses exploitables pour les responsables opérationnels. Les indicateurs gagnent en contexte, en commentaire et en capacité d’alerte.</w:t>
      </w:r>
    </w:p>
    <w:p>
      <w:pPr>
        <w:pStyle w:val="ListBullet"/>
        <w:spacing w:after="40"/>
      </w:pPr>
      <w:r>
        <w:t>Service client et opérations trop séparés : Le client vit les effets des retards ou incidents avant que les équipes ne disposent d’une réponse homogène. Les opérations et la relation client se coordonnent mieux autour d’une information plus fraîche.</w:t>
      </w:r>
    </w:p>
    <w:p>
      <w:pPr>
        <w:pStyle w:val="ListBullet"/>
        <w:spacing w:after="40"/>
      </w:pPr>
      <w:r>
        <w:t>Maintenance et anomalies traitées tard : Les signaux utiles existent mais sont peu capitalisés avant que le coût terrain n’augmente. Les écarts et incidents deviennent plus visibles pour permettre une réaction plus rapide.</w:t>
      </w:r>
    </w:p>
    <w:p>
      <w:pPr>
        <w:pStyle w:val="Heading2"/>
        <w:spacing w:before="120" w:after="60"/>
      </w:pPr>
      <w:r>
        <w:t>Contexte secteur à confirmer</w:t>
      </w:r>
    </w:p>
    <w:p>
      <w:pPr>
        <w:pStyle w:val="ListBullet"/>
        <w:spacing w:after="40"/>
      </w:pPr>
      <w:r>
        <w:t>Exemples de contextes proches : opérateurs de mobilité ; acteurs portuaires ; entreprises de fret et d’express.</w:t>
      </w:r>
    </w:p>
    <w:p>
      <w:pPr>
        <w:pStyle w:val="ListBullet"/>
        <w:spacing w:after="40"/>
      </w:pPr>
      <w:r>
        <w:t>Les enjeux confirmés au cadrage doivent être reliés à des priorités visibles pour le transport et la logistique.</w:t>
      </w:r>
    </w:p>
    <w:p>
      <w:pPr>
        <w:pStyle w:val="ListBullet"/>
        <w:spacing w:after="40"/>
      </w:pPr>
      <w:r>
        <w:t>Le périmètre à confirmer peut concerner un site pilote, une direction donnée, une équipe support ou un processus transverse.</w:t>
      </w:r>
    </w:p>
    <w:p>
      <w:pPr>
        <w:pStyle w:val="ListBullet"/>
        <w:spacing w:after="40"/>
      </w:pPr>
      <w:r>
        <w:t>Les cas d’usage retenus doivent être validés selon les données disponibles, les règles de confidentialité et la capacité de supervision humaine.</w:t>
      </w:r>
    </w:p>
    <w:p>
      <w:pPr>
        <w:pStyle w:val="Heading2"/>
        <w:spacing w:before="120" w:after="60"/>
      </w:pPr>
      <w:r>
        <w:t>Cas d’usage TransferAI mis en avant</w:t>
      </w:r>
    </w:p>
    <w:p>
      <w:pPr>
        <w:pStyle w:val="ListBullet"/>
        <w:spacing w:after="40"/>
      </w:pPr>
      <w:r>
        <w:rPr>
          <w:b/>
        </w:rPr>
        <w:t>Cockpit synthétique des opérations terrain</w:t>
      </w:r>
      <w:r>
        <w:t xml:space="preserve"> : Les flux et incidents sont résumés de façon plus lisible pour l’exploitation et le management. KPI de référence : Temps de lecture des incidents ; réactivité de coordination.</w:t>
      </w:r>
    </w:p>
    <w:p>
      <w:pPr>
        <w:pStyle w:val="ListBullet"/>
        <w:spacing w:after="40"/>
      </w:pPr>
      <w:r>
        <w:rPr>
          <w:b/>
        </w:rPr>
        <w:t>Gestion de flotte et suivi d’anomalies</w:t>
      </w:r>
      <w:r>
        <w:t xml:space="preserve"> : Les anomalies, exceptions et priorités ressortent plus tôt pour les équipes concernées. KPI de référence : Temps de détection ; nombre d’anomalies qualifiées.</w:t>
      </w:r>
    </w:p>
    <w:p>
      <w:pPr>
        <w:pStyle w:val="ListBullet"/>
        <w:spacing w:after="40"/>
      </w:pPr>
      <w:r>
        <w:rPr>
          <w:b/>
        </w:rPr>
        <w:t>Interface opérations / service client</w:t>
      </w:r>
      <w:r>
        <w:t xml:space="preserve"> : Les réponses client s’appuient sur une information plus consolidée, plus rapide et mieux formulée. KPI de référence : Temps de réponse client ; taux de résolution premier contact.</w:t>
      </w:r>
    </w:p>
    <w:p>
      <w:pPr>
        <w:pStyle w:val="ListBullet"/>
        <w:spacing w:after="40"/>
      </w:pPr>
      <w:r>
        <w:rPr>
          <w:b/>
        </w:rPr>
        <w:t>Maintenance et support prédictif</w:t>
      </w:r>
      <w:r>
        <w:t xml:space="preserve"> : L’IA aide à structurer les alertes, historiques et points d’attention avant action humaine. KPI de référence : Délai d’escalade ; temps d’immobilisation évité.</w:t>
      </w:r>
    </w:p>
    <w:p>
      <w:pPr>
        <w:pStyle w:val="Heading1"/>
        <w:spacing w:before="200" w:after="60"/>
      </w:pPr>
      <w:r>
        <w:t>Formule prioritaire recommandée</w:t>
      </w:r>
    </w:p>
    <w:p>
      <w:pPr>
        <w:pStyle w:val="Heading2"/>
        <w:spacing w:before="120" w:after="60"/>
      </w:pPr>
      <w:r>
        <w:t>Intitulé</w:t>
      </w:r>
    </w:p>
    <w:p>
      <w:pPr>
        <w:pStyle w:val="ListBullet"/>
        <w:spacing w:after="40"/>
      </w:pPr>
      <w:r>
        <w:t>Bootcamp IA sectoriel Transport &amp; Logistique : de l’acculturation utile au premier pilote mesurable</w:t>
      </w:r>
    </w:p>
    <w:p>
      <w:pPr>
        <w:pStyle w:val="Heading2"/>
        <w:spacing w:before="120" w:after="60"/>
      </w:pPr>
      <w:r>
        <w:t>Public cible</w:t>
      </w:r>
    </w:p>
    <w:p>
      <w:pPr>
        <w:pStyle w:val="ListBullet"/>
        <w:spacing w:after="40"/>
      </w:pPr>
      <w:r>
        <w:t>Exploitation, supply chain, flotte, hubs, service client, direction opérations</w:t>
      </w:r>
    </w:p>
    <w:p>
      <w:pPr>
        <w:pStyle w:val="Heading2"/>
        <w:spacing w:before="120" w:after="60"/>
      </w:pPr>
      <w:r>
        <w:t>Formats possibles</w:t>
      </w:r>
    </w:p>
    <w:p>
      <w:pPr>
        <w:pStyle w:val="ListBullet"/>
        <w:spacing w:after="40"/>
      </w:pPr>
      <w:r>
        <w:t>Présentiel</w:t>
      </w:r>
    </w:p>
    <w:p>
      <w:pPr>
        <w:pStyle w:val="ListBullet"/>
        <w:spacing w:after="40"/>
      </w:pPr>
      <w:r>
        <w:t>Hybride</w:t>
      </w:r>
    </w:p>
    <w:p>
      <w:pPr>
        <w:pStyle w:val="ListBullet"/>
        <w:spacing w:after="40"/>
      </w:pPr>
      <w:r>
        <w:t>En ligne (style webinaire)</w:t>
      </w:r>
    </w:p>
    <w:p>
      <w:pPr>
        <w:pStyle w:val="Heading2"/>
        <w:spacing w:before="120" w:after="60"/>
      </w:pPr>
      <w:r>
        <w:t>Niveaux</w:t>
      </w:r>
    </w:p>
    <w:p>
      <w:pPr>
        <w:pStyle w:val="ListBullet"/>
        <w:spacing w:after="40"/>
      </w:pPr>
      <w:r>
        <w:t>Débutant</w:t>
      </w:r>
    </w:p>
    <w:p>
      <w:pPr>
        <w:pStyle w:val="ListBullet"/>
        <w:spacing w:after="40"/>
      </w:pPr>
      <w:r>
        <w:t>Intermédiaire</w:t>
      </w:r>
    </w:p>
    <w:p>
      <w:pPr>
        <w:pStyle w:val="ListBullet"/>
        <w:spacing w:after="40"/>
      </w:pPr>
      <w:r>
        <w:t>Avancé</w:t>
      </w:r>
    </w:p>
    <w:p>
      <w:pPr>
        <w:pStyle w:val="Heading2"/>
        <w:spacing w:before="120" w:after="60"/>
      </w:pPr>
      <w:r>
        <w:t>Durée</w:t>
      </w:r>
    </w:p>
    <w:p>
      <w:pPr>
        <w:pStyle w:val="ListBullet"/>
        <w:spacing w:after="40"/>
      </w:pPr>
      <w:r>
        <w:t>1 jour : version décideurs et managers</w:t>
      </w:r>
    </w:p>
    <w:p>
      <w:pPr>
        <w:pStyle w:val="ListBullet"/>
        <w:spacing w:after="40"/>
      </w:pPr>
      <w:r>
        <w:t>2 jours : version équipes, managers et mise en pratique</w:t>
      </w:r>
    </w:p>
    <w:p>
      <w:pPr>
        <w:pStyle w:val="Heading2"/>
        <w:spacing w:before="120" w:after="60"/>
      </w:pPr>
      <w:r>
        <w:t>Tarif</w:t>
      </w:r>
    </w:p>
    <w:p>
      <w:pPr>
        <w:pStyle w:val="ListBullet"/>
        <w:spacing w:after="40"/>
      </w:pPr>
      <w:r>
        <w:t>Prix sur demande</w:t>
      </w:r>
    </w:p>
    <w:p>
      <w:pPr>
        <w:pStyle w:val="Heading2"/>
        <w:spacing w:before="120" w:after="60"/>
      </w:pPr>
      <w:r>
        <w:t>Résultats attendus</w:t>
      </w:r>
    </w:p>
    <w:p>
      <w:pPr>
        <w:pStyle w:val="ListBullet"/>
        <w:spacing w:after="40"/>
      </w:pPr>
      <w:r>
        <w:t>Moins de retards subis dans les opérations (meilleure lecture des points de friction).</w:t>
      </w:r>
    </w:p>
    <w:p>
      <w:pPr>
        <w:pStyle w:val="ListBullet"/>
        <w:spacing w:after="40"/>
      </w:pPr>
      <w:r>
        <w:t>Coordination plus rapide entre le terrain et les managers (synthèses, alertes, relances).</w:t>
      </w:r>
    </w:p>
    <w:p>
      <w:pPr>
        <w:pStyle w:val="ListBullet"/>
        <w:spacing w:after="40"/>
      </w:pPr>
      <w:r>
        <w:t>Service plus homogène côté client (information plus claire en cas d’incident).</w:t>
      </w:r>
    </w:p>
    <w:p>
      <w:pPr>
        <w:pStyle w:val="ListBullet"/>
        <w:spacing w:after="40"/>
      </w:pPr>
      <w:r>
        <w:t>KPI plus actionnables pour l’exploitation (commentaires et priorités visibles).</w:t>
      </w:r>
    </w:p>
    <w:p>
      <w:pPr>
        <w:pStyle w:val="ListBullet"/>
        <w:spacing w:after="40"/>
      </w:pPr>
      <w:r>
        <w:t>Une feuille de route claire sur les deux premiers cas d’usage à lancer dans le transport et la logistique.</w:t>
      </w:r>
    </w:p>
    <w:p>
      <w:pPr>
        <w:pStyle w:val="ListBullet"/>
        <w:spacing w:after="40"/>
      </w:pPr>
      <w:r>
        <w:t>Une meilleure capacité à relier formation, gouvernance, pilote et retour sur investissement visible.</w:t>
      </w:r>
    </w:p>
    <w:p>
      <w:pPr>
        <w:pStyle w:val="Heading2"/>
        <w:spacing w:before="120" w:after="60"/>
      </w:pPr>
      <w:r>
        <w:t>Objectifs pédagogiques</w:t>
      </w:r>
    </w:p>
    <w:p>
      <w:pPr>
        <w:pStyle w:val="ListBullet"/>
        <w:spacing w:after="40"/>
      </w:pPr>
      <w:r>
        <w:t>Identifier les priorités métier les plus crédibles à traiter par l’IA dans le transport et la logistique.</w:t>
      </w:r>
    </w:p>
    <w:p>
      <w:pPr>
        <w:pStyle w:val="ListBullet"/>
        <w:spacing w:after="40"/>
      </w:pPr>
      <w:r>
        <w:t>Savoir structurer et piloter le cas d’usage « Cockpit synthétique des opérations terrain ».</w:t>
      </w:r>
    </w:p>
    <w:p>
      <w:pPr>
        <w:pStyle w:val="ListBullet"/>
        <w:spacing w:after="40"/>
      </w:pPr>
      <w:r>
        <w:t>Savoir structurer et piloter le cas d’usage « Gestion de flotte et suivi d’anomalies ».</w:t>
      </w:r>
    </w:p>
    <w:p>
      <w:pPr>
        <w:pStyle w:val="ListBullet"/>
        <w:spacing w:after="40"/>
      </w:pPr>
      <w:r>
        <w:t>Savoir structurer et piloter le cas d’usage « Interface opérations / service client ».</w:t>
      </w:r>
    </w:p>
    <w:p>
      <w:pPr>
        <w:pStyle w:val="ListBullet"/>
        <w:spacing w:after="40"/>
      </w:pPr>
      <w:r>
        <w:t>Distinguer les usages immédiatement activables, les usages à encadrer et les usages à piloter dans le temps.</w:t>
      </w:r>
    </w:p>
    <w:p>
      <w:pPr>
        <w:pStyle w:val="ListBullet"/>
        <w:spacing w:after="40"/>
      </w:pPr>
      <w:r>
        <w:t>Définir des KPI simples, un cadre de confiance et un premier plan d’action à 90 jours.</w:t>
      </w:r>
    </w:p>
    <w:p>
      <w:pPr>
        <w:pStyle w:val="Heading2"/>
        <w:spacing w:before="120" w:after="60"/>
      </w:pPr>
      <w:r>
        <w:t>Programme</w:t>
      </w:r>
    </w:p>
    <w:p>
      <w:pPr>
        <w:pStyle w:val="Heading3"/>
        <w:spacing w:before="120" w:after="60"/>
      </w:pPr>
      <w:r>
        <w:t>Jour 1</w:t>
      </w:r>
    </w:p>
    <w:p>
      <w:pPr>
        <w:pStyle w:val="ListBullet"/>
        <w:spacing w:after="40"/>
      </w:pPr>
      <w:r>
        <w:t>Lecture des enjeux sectoriels : Le retour sur investissement se joue ici sur la coordination terrain, la réduction des retards, la lecture des anomalies, la fluidité du service et la capacité à mieux commenter les opérations.</w:t>
      </w:r>
    </w:p>
    <w:p>
      <w:pPr>
        <w:pStyle w:val="ListBullet"/>
        <w:spacing w:after="40"/>
      </w:pPr>
      <w:r>
        <w:t>Cartographie des priorités métier confirmées : Informations terrain dispersées ; Pilotage des flux peu commenté ; Service client et opérations trop séparés.</w:t>
      </w:r>
    </w:p>
    <w:p>
      <w:pPr>
        <w:pStyle w:val="ListBullet"/>
        <w:spacing w:after="40"/>
      </w:pPr>
      <w:r>
        <w:t>Études de cas guidées autour de « Cockpit synthétique des opérations terrain » et « Gestion de flotte et suivi d’anomalies ».</w:t>
      </w:r>
    </w:p>
    <w:p>
      <w:pPr>
        <w:pStyle w:val="ListBullet"/>
        <w:spacing w:after="40"/>
      </w:pPr>
      <w:r>
        <w:t>Méthodes, outils et gestes professionnels à partir des ancrages pédagogiques suivants : Gestion de Flotte et Logistique IA ; Planification et Suivi des Indicateurs avec l’IA ; Gestion des Achats et Approvisionnement IA.</w:t>
      </w:r>
    </w:p>
    <w:p>
      <w:pPr>
        <w:pStyle w:val="ListBullet"/>
        <w:spacing w:after="40"/>
      </w:pPr>
      <w:r>
        <w:t>Cadre de confiance : confidentialité, supervision humaine, validation managériale et critères d’extension.</w:t>
      </w:r>
    </w:p>
    <w:p>
      <w:pPr>
        <w:pStyle w:val="Heading3"/>
        <w:spacing w:before="120" w:after="60"/>
      </w:pPr>
      <w:r>
        <w:t>Jour 2</w:t>
      </w:r>
    </w:p>
    <w:p>
      <w:pPr>
        <w:pStyle w:val="ListBullet"/>
        <w:spacing w:after="40"/>
      </w:pPr>
      <w:r>
        <w:t>Cette journée s’active lorsque la formule 2 jours est retenue.</w:t>
      </w:r>
    </w:p>
    <w:p>
      <w:pPr>
        <w:pStyle w:val="ListBullet"/>
        <w:spacing w:after="40"/>
      </w:pPr>
      <w:r>
        <w:t>Ateliers de conception sur « Interface opérations / service client » et « Maintenance et support prédictif ».</w:t>
      </w:r>
    </w:p>
    <w:p>
      <w:pPr>
        <w:pStyle w:val="ListBullet"/>
        <w:spacing w:after="40"/>
      </w:pPr>
      <w:r>
        <w:t>Construction de prompts, trames, routines et scénarios d’usage adaptés au terrain.</w:t>
      </w:r>
    </w:p>
    <w:p>
      <w:pPr>
        <w:pStyle w:val="ListBullet"/>
        <w:spacing w:after="40"/>
      </w:pPr>
      <w:r>
        <w:t>Approfondissements recommandés : Relation Client Augmentée par l’IA ; Optimisation des Processus Métier avec l’IA ; Support Prédictif et Maintenance Anticipée.</w:t>
      </w:r>
    </w:p>
    <w:p>
      <w:pPr>
        <w:pStyle w:val="ListBullet"/>
        <w:spacing w:after="40"/>
      </w:pPr>
      <w:r>
        <w:t>Définition du premier pilote, des livrables attendus et des KPI de suivi.</w:t>
      </w:r>
    </w:p>
    <w:p>
      <w:pPr>
        <w:pStyle w:val="ListBullet"/>
        <w:spacing w:after="40"/>
      </w:pPr>
      <w:r>
        <w:t>Plan d’action à 90 jours : séquencement, populations à former, gouvernance et arbitrages de déploiement.</w:t>
      </w:r>
    </w:p>
    <w:p>
      <w:pPr>
        <w:pStyle w:val="Heading2"/>
        <w:spacing w:before="120" w:after="60"/>
      </w:pPr>
      <w:r>
        <w:t>Livrables / attendus</w:t>
      </w:r>
    </w:p>
    <w:p>
      <w:pPr>
        <w:pStyle w:val="ListBullet"/>
        <w:spacing w:after="40"/>
      </w:pPr>
      <w:r>
        <w:t>Une note de cadrage sectorielle pour le transport et la logistique avec priorités confirmées, risques et premières décisions.</w:t>
      </w:r>
    </w:p>
    <w:p>
      <w:pPr>
        <w:pStyle w:val="ListBullet"/>
        <w:spacing w:after="40"/>
      </w:pPr>
      <w:r>
        <w:t>Une matrice des cas d’usage prioritaires incluant « Cockpit synthétique des opérations terrain » ; « Gestion de flotte et suivi d’anomalies » ; « Interface opérations / service client » ; « Maintenance et support prédictif ».</w:t>
      </w:r>
    </w:p>
    <w:p>
      <w:pPr>
        <w:pStyle w:val="ListBullet"/>
        <w:spacing w:after="40"/>
      </w:pPr>
      <w:r>
        <w:t>Un canevas de pilote à 90 jours avec KPI, rôles, supervision et critères de succès.</w:t>
      </w:r>
    </w:p>
    <w:p>
      <w:pPr>
        <w:pStyle w:val="ListBullet"/>
        <w:spacing w:after="40"/>
      </w:pPr>
      <w:r>
        <w:t>Une recommandation de parcours de montée en compétences à partir de : Gestion de Flotte et Logistique IA ; Planification et Suivi des Indicateurs avec l’IA ; Gestion des Achats et Approvisionnement IA ; Relation Client Augmentée par l’IA.</w:t>
      </w:r>
    </w:p>
    <w:p>
      <w:pPr>
        <w:pStyle w:val="Heading2"/>
        <w:spacing w:before="120" w:after="60"/>
      </w:pPr>
      <w:r>
        <w:t>Ancrages pédagogiques recommandés</w:t>
      </w:r>
    </w:p>
    <w:p>
      <w:pPr>
        <w:pStyle w:val="ListBullet"/>
        <w:spacing w:after="40"/>
      </w:pPr>
      <w:r>
        <w:t>Gestion de Flotte et Logistique IA</w:t>
      </w:r>
    </w:p>
    <w:p>
      <w:pPr>
        <w:pStyle w:val="ListBullet"/>
        <w:spacing w:after="40"/>
      </w:pPr>
      <w:r>
        <w:t>Planification et Suivi des Indicateurs avec l’IA</w:t>
      </w:r>
    </w:p>
    <w:p>
      <w:pPr>
        <w:pStyle w:val="ListBullet"/>
        <w:spacing w:after="40"/>
      </w:pPr>
      <w:r>
        <w:t>Gestion des Achats et Approvisionnement IA</w:t>
      </w:r>
    </w:p>
    <w:p>
      <w:pPr>
        <w:pStyle w:val="ListBullet"/>
        <w:spacing w:after="40"/>
      </w:pPr>
      <w:r>
        <w:t>Relation Client Augmentée par l’IA</w:t>
      </w:r>
    </w:p>
    <w:p>
      <w:pPr>
        <w:pStyle w:val="ListBullet"/>
        <w:spacing w:after="40"/>
      </w:pPr>
      <w:r>
        <w:t>Optimisation des Processus Métier avec l’IA</w:t>
      </w:r>
    </w:p>
    <w:p>
      <w:pPr>
        <w:pStyle w:val="ListBullet"/>
        <w:spacing w:after="40"/>
      </w:pPr>
      <w:r>
        <w:t>Support Prédictif et Maintenance Anticipée</w:t>
      </w:r>
    </w:p>
    <w:p>
      <w:pPr>
        <w:pStyle w:val="Heading2"/>
        <w:spacing w:before="120" w:after="60"/>
      </w:pPr>
      <w:r>
        <w:t>Mention de personnalisation</w:t>
      </w:r>
    </w:p>
    <w:p>
      <w:pPr>
        <w:pStyle w:val="ListBullet"/>
        <w:spacing w:after="40"/>
      </w:pPr>
      <w:r>
        <w:t>Le contenu final est ajusté après qualification du contexte, des outils déjà utilisés, des données disponibles et des arbitrages de confidentialité propres au prospect.</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2B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E5D8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B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B6B7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