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0"/>
        <w:jc w:val="center"/>
        <w:pBdr>
          <w:bottom w:val="single" w:sz="8" w:space="1" w:color="D9E2F2"/>
        </w:pBdr>
      </w:pPr>
      <w:r>
        <w:t>TransferAI - Catalogue premium des formules sectorielles prioritaires</w:t>
      </w:r>
    </w:p>
    <w:p>
      <w:pPr>
        <w:pStyle w:val="Subtitle"/>
        <w:spacing w:after="280"/>
        <w:jc w:val="center"/>
      </w:pPr>
      <w:r>
        <w:t>Mini catalogue ciblé par secteur pour les entreprises, institutions et organisations | Édition du 2026-06-12 · Ce catalogue regroupe des formules ciblées par secteur à partir des cas d’usage prioritaires identifiés dans les decks sectoriels TransferAI.</w:t>
      </w:r>
    </w:p>
    <w:p>
      <w:pPr>
        <w:pStyle w:val="Heading1"/>
        <w:spacing w:before="200" w:after="60"/>
      </w:pPr>
      <w:r>
        <w:t>Positionnement</w:t>
      </w:r>
    </w:p>
    <w:p>
      <w:pPr>
        <w:pStyle w:val="ListBullet"/>
        <w:spacing w:after="40"/>
      </w:pPr>
      <w:r>
        <w:t>Ce catalogue n’est pas générique : chaque fiche sectorielle est construite autour d’enjeux métier, de cas d’usage et de livrables cohérents avec le secteur visé.</w:t>
      </w:r>
    </w:p>
    <w:p>
      <w:pPr>
        <w:pStyle w:val="ListBullet"/>
        <w:spacing w:after="40"/>
      </w:pPr>
      <w:r>
        <w:t>Les programmes peuvent être activés en format présentiel, hybride ou en ligne (style webinaire).</w:t>
      </w:r>
    </w:p>
    <w:p>
      <w:pPr>
        <w:pStyle w:val="ListBullet"/>
        <w:spacing w:after="40"/>
      </w:pPr>
      <w:r>
        <w:t>Trois niveaux peuvent être proposés selon le besoin : Débutant, Intermédiaire, Avancé.</w:t>
      </w:r>
    </w:p>
    <w:p>
      <w:pPr>
        <w:pStyle w:val="ListBullet"/>
        <w:spacing w:after="40"/>
      </w:pPr>
      <w:r>
        <w:t>Les tarifs sont communiqués sur demande après qualification du contexte et du périmètre.</w:t>
      </w:r>
    </w:p>
    <w:p>
      <w:pPr>
        <w:pStyle w:val="Heading1"/>
        <w:spacing w:before="200" w:after="60"/>
      </w:pPr>
      <w:r>
        <w:t>Secteurs couverts</w:t>
      </w:r>
    </w:p>
    <w:p>
      <w:pPr>
        <w:pStyle w:val="ListBullet"/>
        <w:spacing w:after="40"/>
      </w:pPr>
      <w:r>
        <w:t>Assistanat &amp; Secrétariat</w:t>
      </w:r>
    </w:p>
    <w:p>
      <w:pPr>
        <w:pStyle w:val="ListBullet"/>
        <w:spacing w:after="40"/>
      </w:pPr>
      <w:r>
        <w:t>Ressources Humaines</w:t>
      </w:r>
    </w:p>
    <w:p>
      <w:pPr>
        <w:pStyle w:val="ListBullet"/>
        <w:spacing w:after="40"/>
      </w:pPr>
      <w:r>
        <w:t>Marketing &amp; Communication</w:t>
      </w:r>
    </w:p>
    <w:p>
      <w:pPr>
        <w:pStyle w:val="ListBullet"/>
        <w:spacing w:after="40"/>
      </w:pPr>
      <w:r>
        <w:t>Finance &amp; Comptabilité</w:t>
      </w:r>
    </w:p>
    <w:p>
      <w:pPr>
        <w:pStyle w:val="ListBullet"/>
        <w:spacing w:after="40"/>
      </w:pPr>
      <w:r>
        <w:t>Juridique &amp; Conformité</w:t>
      </w:r>
    </w:p>
    <w:p>
      <w:pPr>
        <w:pStyle w:val="ListBullet"/>
        <w:spacing w:after="40"/>
      </w:pPr>
      <w:r>
        <w:t>Service Client</w:t>
      </w:r>
    </w:p>
    <w:p>
      <w:pPr>
        <w:pStyle w:val="ListBullet"/>
        <w:spacing w:after="40"/>
      </w:pPr>
      <w:r>
        <w:t>Data &amp; Analyse</w:t>
      </w:r>
    </w:p>
    <w:p>
      <w:pPr>
        <w:pStyle w:val="ListBullet"/>
        <w:spacing w:after="40"/>
      </w:pPr>
      <w:r>
        <w:t>Administration &amp; Gestion</w:t>
      </w:r>
    </w:p>
    <w:p>
      <w:pPr>
        <w:pStyle w:val="ListBullet"/>
        <w:spacing w:after="40"/>
      </w:pPr>
      <w:r>
        <w:t>Management &amp; Leadership</w:t>
      </w:r>
    </w:p>
    <w:p>
      <w:pPr>
        <w:pStyle w:val="ListBullet"/>
        <w:spacing w:after="40"/>
      </w:pPr>
      <w:r>
        <w:t>IT &amp; Transformation Digitale</w:t>
      </w:r>
    </w:p>
    <w:p>
      <w:pPr>
        <w:pStyle w:val="ListBullet"/>
        <w:spacing w:after="40"/>
      </w:pPr>
      <w:r>
        <w:t>Formation &amp; Pédagogie</w:t>
      </w:r>
    </w:p>
    <w:p>
      <w:pPr>
        <w:pStyle w:val="ListBullet"/>
        <w:spacing w:after="40"/>
      </w:pPr>
      <w:r>
        <w:t>Santé &amp; Bien-être</w:t>
      </w:r>
    </w:p>
    <w:p>
      <w:pPr>
        <w:pStyle w:val="ListBullet"/>
        <w:spacing w:after="40"/>
      </w:pPr>
      <w:r>
        <w:t>Diplomatie &amp; Affaires Internationales</w:t>
      </w:r>
    </w:p>
    <w:p>
      <w:pPr>
        <w:pStyle w:val="ListBullet"/>
        <w:spacing w:after="40"/>
      </w:pPr>
      <w:r>
        <w:t>Transport &amp; Logistique</w:t>
      </w:r>
    </w:p>
    <w:p>
      <w:pPr>
        <w:pStyle w:val="ListBullet"/>
        <w:spacing w:after="40"/>
      </w:pPr>
      <w:r>
        <w:t>Énergie &amp; Pétrole</w:t>
      </w:r>
    </w:p>
    <w:p>
      <w:pPr>
        <w:pStyle w:val="ListBullet"/>
        <w:spacing w:after="40"/>
      </w:pPr>
      <w:r>
        <w:t>Télécommunications</w:t>
      </w:r>
    </w:p>
    <w:p>
      <w:pPr>
        <w:pStyle w:val="Heading1"/>
        <w:spacing w:before="200" w:after="60"/>
      </w:pPr>
      <w:r>
        <w:t>TransferAI - Mini catalogue premium Assistanat &amp; Secrétariat</w:t>
      </w:r>
    </w:p>
    <w:p>
      <w:pPr>
        <w:spacing w:after="120"/>
      </w:pPr>
      <w:r>
        <w:t>Catalogue ciblé par secteur | Formule prioritaire sur mesure | Édition du 2026-06-12</w:t>
      </w:r>
    </w:p>
    <w:p>
      <w:pPr>
        <w:spacing w:after="120"/>
      </w:pPr>
      <w:r>
        <w:t>Ce document est conçu pour des prospects de même univers métier. Il peut être adapté à une organisation précise après audit IA gratuit et échange expert de qualification.</w:t>
      </w:r>
    </w:p>
    <w:p>
      <w:pPr>
        <w:pStyle w:val="Heading1"/>
        <w:spacing w:before="200" w:after="60"/>
      </w:pPr>
      <w:r>
        <w:t>Fiche sectorielle 01 / 16</w:t>
      </w:r>
    </w:p>
    <w:p>
      <w:pPr>
        <w:pStyle w:val="Heading2"/>
        <w:spacing w:before="120" w:after="60"/>
      </w:pPr>
      <w:r>
        <w:t>Domaine de référence</w:t>
      </w:r>
    </w:p>
    <w:p>
      <w:pPr>
        <w:pStyle w:val="ListBullet"/>
        <w:spacing w:after="40"/>
      </w:pPr>
      <w:r>
        <w:t>Assistanat &amp; Secrétariat | Contextes proches : Administration publique ; Institution régionale ; Hôtellerie / Tourisme ; Audit / Conseil ; Administration / Numérique</w:t>
      </w:r>
    </w:p>
    <w:p>
      <w:pPr>
        <w:pStyle w:val="Heading2"/>
        <w:spacing w:before="120" w:after="60"/>
      </w:pPr>
      <w:r>
        <w:t>Enjeux sectoriels</w:t>
      </w:r>
    </w:p>
    <w:p>
      <w:pPr>
        <w:pStyle w:val="ListBullet"/>
        <w:spacing w:after="40"/>
      </w:pPr>
      <w:r>
        <w:t>Ce contexte concerne les structures où la direction, l’assistanat ou la coordination administrative absorbent un volume élevé de courriers, réunions, validations et suivis transverses.</w:t>
      </w:r>
    </w:p>
    <w:p>
      <w:pPr>
        <w:pStyle w:val="ListBullet"/>
        <w:spacing w:after="40"/>
      </w:pPr>
      <w:r>
        <w:t>Rédaction lente et dispersée : Courriers, notes, synthèses et messages importants sont produits de façon hétérogène. Des modèles guidés, prompts validés et relectures plus rapides rendent la production plus nette et plus homogène.</w:t>
      </w:r>
    </w:p>
    <w:p>
      <w:pPr>
        <w:pStyle w:val="ListBullet"/>
        <w:spacing w:after="40"/>
      </w:pPr>
      <w:r>
        <w:t>Réunions nombreuses, mémoire faible : Les décisions, actions et arbitrages se perdent entre comptes rendus, messages et relances. Les réunions sont synthétisées plus vite avec une sortie claire : décisions, responsables, échéances et points en attente.</w:t>
      </w:r>
    </w:p>
    <w:p>
      <w:pPr>
        <w:pStyle w:val="ListBullet"/>
        <w:spacing w:after="40"/>
      </w:pPr>
      <w:r>
        <w:t>Agenda et priorités mal arbitré : Les urgences dominent et les tâches à forte valeur sont noyées dans le flux quotidien. La préparation des journées, des rendez-vous et des arbitrages devient plus structurée et plus visible.</w:t>
      </w:r>
    </w:p>
    <w:p>
      <w:pPr>
        <w:pStyle w:val="ListBullet"/>
        <w:spacing w:after="40"/>
      </w:pPr>
      <w:r>
        <w:t>Dépendance à quelques personnes : L’information utile reste souvent dans les mails, la mémoire ou les habitudes de quelques assistants clés. Les bonnes pratiques, formats et réponses types deviennent partageables, transmissibles et réutilisables.</w:t>
      </w:r>
    </w:p>
    <w:p>
      <w:pPr>
        <w:pStyle w:val="Heading2"/>
        <w:spacing w:before="120" w:after="60"/>
      </w:pPr>
      <w:r>
        <w:t>Contexte secteur à confirmer</w:t>
      </w:r>
    </w:p>
    <w:p>
      <w:pPr>
        <w:pStyle w:val="ListBullet"/>
        <w:spacing w:after="40"/>
      </w:pPr>
      <w:r>
        <w:t>Exemples de contextes proches : Administration publique ; Institution régionale ; Hôtellerie / Tourisme ; Audit / Conseil ; Administration / Numérique.</w:t>
      </w:r>
    </w:p>
    <w:p>
      <w:pPr>
        <w:pStyle w:val="ListBullet"/>
        <w:spacing w:after="40"/>
      </w:pPr>
      <w:r>
        <w:t>Les enjeux confirmés au cadrage doivent être reliés à des priorités visibles pour l’assistanat et le secrétariat.</w:t>
      </w:r>
    </w:p>
    <w:p>
      <w:pPr>
        <w:pStyle w:val="ListBullet"/>
        <w:spacing w:after="40"/>
      </w:pPr>
      <w:r>
        <w:t>Le périmètre à confirmer peut concerner un site pilote, une direction donnée, une équipe support ou un processus transverse.</w:t>
      </w:r>
    </w:p>
    <w:p>
      <w:pPr>
        <w:pStyle w:val="ListBullet"/>
        <w:spacing w:after="40"/>
      </w:pPr>
      <w:r>
        <w:t>Les cas d’usage retenus doivent être validés selon les données disponibles, les règles de confidentialité et la capacité de supervision humaine.</w:t>
      </w:r>
    </w:p>
    <w:p>
      <w:pPr>
        <w:pStyle w:val="Heading2"/>
        <w:spacing w:before="120" w:after="60"/>
      </w:pPr>
      <w:r>
        <w:t>Cas d’usage TransferAI mis en avant</w:t>
      </w:r>
    </w:p>
    <w:p>
      <w:pPr>
        <w:pStyle w:val="ListBullet"/>
        <w:spacing w:after="40"/>
      </w:pPr>
      <w:r>
        <w:rPr>
          <w:b/>
        </w:rPr>
        <w:t>Courriers et correspondances premium</w:t>
      </w:r>
      <w:r>
        <w:t xml:space="preserve"> : Des trames guidées permettent de rédiger plus vite, avec le bon ton et les bonnes pièces. KPI de référence : Temps moyen de rédaction ; taux de validation du premier jet.</w:t>
      </w:r>
    </w:p>
    <w:p>
      <w:pPr>
        <w:pStyle w:val="ListBullet"/>
        <w:spacing w:after="40"/>
      </w:pPr>
      <w:r>
        <w:rPr>
          <w:b/>
        </w:rPr>
        <w:t>Synthèse de réunions et plan d’action</w:t>
      </w:r>
      <w:r>
        <w:t xml:space="preserve"> : Chaque réunion débouche sur un résumé clair, des décisions, des responsables et un suivi prêt à partir. KPI de référence : Délai d’envoi du compte rendu ; taux d’actions clôturées.</w:t>
      </w:r>
    </w:p>
    <w:p>
      <w:pPr>
        <w:pStyle w:val="ListBullet"/>
        <w:spacing w:after="40"/>
      </w:pPr>
      <w:r>
        <w:rPr>
          <w:b/>
        </w:rPr>
        <w:t>Agenda, relances et préparation exécutive</w:t>
      </w:r>
      <w:r>
        <w:t xml:space="preserve"> : L’IA prépare les briefs, rappels, points d’attention et dossiers de séance de façon plus régulière. KPI de référence : Temps de préparation ; nombre d’oublis ou reports critiques.</w:t>
      </w:r>
    </w:p>
    <w:p>
      <w:pPr>
        <w:pStyle w:val="ListBullet"/>
        <w:spacing w:after="40"/>
      </w:pPr>
      <w:r>
        <w:rPr>
          <w:b/>
        </w:rPr>
        <w:t>Base documentaire d’assistanat</w:t>
      </w:r>
      <w:r>
        <w:t xml:space="preserve"> : Une base simple consolide réponses types, formats et bonnes pratiques réutilisables. KPI de référence : Temps de recherche documentaire ; homogénéité des livrables.</w:t>
      </w:r>
    </w:p>
    <w:p>
      <w:pPr>
        <w:pStyle w:val="Heading1"/>
        <w:spacing w:before="200" w:after="60"/>
      </w:pPr>
      <w:r>
        <w:t>Formule prioritaire recommandée</w:t>
      </w:r>
    </w:p>
    <w:p>
      <w:pPr>
        <w:pStyle w:val="Heading2"/>
        <w:spacing w:before="120" w:after="60"/>
      </w:pPr>
      <w:r>
        <w:t>Intitulé</w:t>
      </w:r>
    </w:p>
    <w:p>
      <w:pPr>
        <w:pStyle w:val="ListBullet"/>
        <w:spacing w:after="40"/>
      </w:pPr>
      <w:r>
        <w:t>Bootcamp IA sectoriel Assistanat &amp; Secrétariat : de l’acculturation utile au premier pilote mesurable</w:t>
      </w:r>
    </w:p>
    <w:p>
      <w:pPr>
        <w:pStyle w:val="Heading2"/>
        <w:spacing w:before="120" w:after="60"/>
      </w:pPr>
      <w:r>
        <w:t>Public cible</w:t>
      </w:r>
    </w:p>
    <w:p>
      <w:pPr>
        <w:pStyle w:val="ListBullet"/>
        <w:spacing w:after="40"/>
      </w:pPr>
      <w:r>
        <w:t>Directions générales, assistantes de direction, secrétariats exécutifs, coordinations administratives</w:t>
      </w:r>
    </w:p>
    <w:p>
      <w:pPr>
        <w:pStyle w:val="Heading2"/>
        <w:spacing w:before="120" w:after="60"/>
      </w:pPr>
      <w:r>
        <w:t>Formats possibles</w:t>
      </w:r>
    </w:p>
    <w:p>
      <w:pPr>
        <w:pStyle w:val="ListBullet"/>
        <w:spacing w:after="40"/>
      </w:pPr>
      <w:r>
        <w:t>Présentiel</w:t>
      </w:r>
    </w:p>
    <w:p>
      <w:pPr>
        <w:pStyle w:val="ListBullet"/>
        <w:spacing w:after="40"/>
      </w:pPr>
      <w:r>
        <w:t>Hybride</w:t>
      </w:r>
    </w:p>
    <w:p>
      <w:pPr>
        <w:pStyle w:val="ListBullet"/>
        <w:spacing w:after="40"/>
      </w:pPr>
      <w:r>
        <w:t>En ligne (style webinaire)</w:t>
      </w:r>
    </w:p>
    <w:p>
      <w:pPr>
        <w:pStyle w:val="Heading2"/>
        <w:spacing w:before="120" w:after="60"/>
      </w:pPr>
      <w:r>
        <w:t>Niveaux</w:t>
      </w:r>
    </w:p>
    <w:p>
      <w:pPr>
        <w:pStyle w:val="ListBullet"/>
        <w:spacing w:after="40"/>
      </w:pPr>
      <w:r>
        <w:t>Débutant</w:t>
      </w:r>
    </w:p>
    <w:p>
      <w:pPr>
        <w:pStyle w:val="ListBullet"/>
        <w:spacing w:after="40"/>
      </w:pPr>
      <w:r>
        <w:t>Intermédiaire</w:t>
      </w:r>
    </w:p>
    <w:p>
      <w:pPr>
        <w:pStyle w:val="ListBullet"/>
        <w:spacing w:after="40"/>
      </w:pPr>
      <w:r>
        <w:t>Avancé</w:t>
      </w:r>
    </w:p>
    <w:p>
      <w:pPr>
        <w:pStyle w:val="Heading2"/>
        <w:spacing w:before="120" w:after="60"/>
      </w:pPr>
      <w:r>
        <w:t>Durée</w:t>
      </w:r>
    </w:p>
    <w:p>
      <w:pPr>
        <w:pStyle w:val="ListBullet"/>
        <w:spacing w:after="40"/>
      </w:pPr>
      <w:r>
        <w:t>1 jour : version décideurs et managers</w:t>
      </w:r>
    </w:p>
    <w:p>
      <w:pPr>
        <w:pStyle w:val="ListBullet"/>
        <w:spacing w:after="40"/>
      </w:pPr>
      <w:r>
        <w:t>2 jours : version équipes, managers et mise en pratique</w:t>
      </w:r>
    </w:p>
    <w:p>
      <w:pPr>
        <w:pStyle w:val="Heading2"/>
        <w:spacing w:before="120" w:after="60"/>
      </w:pPr>
      <w:r>
        <w:t>Tarif</w:t>
      </w:r>
    </w:p>
    <w:p>
      <w:pPr>
        <w:pStyle w:val="ListBullet"/>
        <w:spacing w:after="40"/>
      </w:pPr>
      <w:r>
        <w:t>Prix sur demande</w:t>
      </w:r>
    </w:p>
    <w:p>
      <w:pPr>
        <w:pStyle w:val="Heading2"/>
        <w:spacing w:before="120" w:after="60"/>
      </w:pPr>
      <w:r>
        <w:t>Résultats attendus</w:t>
      </w:r>
    </w:p>
    <w:p>
      <w:pPr>
        <w:pStyle w:val="ListBullet"/>
        <w:spacing w:after="40"/>
      </w:pPr>
      <w:r>
        <w:t>30 à 50 % sur le temps de rédaction (courriers, notes et synthèses).</w:t>
      </w:r>
    </w:p>
    <w:p>
      <w:pPr>
        <w:pStyle w:val="ListBullet"/>
        <w:spacing w:after="40"/>
      </w:pPr>
      <w:r>
        <w:t>2x plus vite pour préparer un rendez-vous (brief, ordre du jour, pièces clés).</w:t>
      </w:r>
    </w:p>
    <w:p>
      <w:pPr>
        <w:pStyle w:val="ListBullet"/>
        <w:spacing w:after="40"/>
      </w:pPr>
      <w:r>
        <w:t>Meilleure traçabilité des décisions et relances (après réunions et arbitrages).</w:t>
      </w:r>
    </w:p>
    <w:p>
      <w:pPr>
        <w:pStyle w:val="ListBullet"/>
        <w:spacing w:after="40"/>
      </w:pPr>
      <w:r>
        <w:t>Onboarding accéléré des assistants et coordinations (méthodes et formats plus stables).</w:t>
      </w:r>
    </w:p>
    <w:p>
      <w:pPr>
        <w:pStyle w:val="ListBullet"/>
        <w:spacing w:after="40"/>
      </w:pPr>
      <w:r>
        <w:t>Une feuille de route claire sur les deux premiers cas d’usage à lancer dans l’assistanat et le secrétariat.</w:t>
      </w:r>
    </w:p>
    <w:p>
      <w:pPr>
        <w:pStyle w:val="ListBullet"/>
        <w:spacing w:after="40"/>
      </w:pPr>
      <w:r>
        <w:t>Une meilleure capacité à relier formation, gouvernance, pilote et retour sur investissement visible.</w:t>
      </w:r>
    </w:p>
    <w:p>
      <w:pPr>
        <w:pStyle w:val="Heading2"/>
        <w:spacing w:before="120" w:after="60"/>
      </w:pPr>
      <w:r>
        <w:t>Objectifs pédagogiques</w:t>
      </w:r>
    </w:p>
    <w:p>
      <w:pPr>
        <w:pStyle w:val="ListBullet"/>
        <w:spacing w:after="40"/>
      </w:pPr>
      <w:r>
        <w:t>Identifier les priorités métier les plus crédibles à traiter par l’IA dans l’assistanat et le secrétariat.</w:t>
      </w:r>
    </w:p>
    <w:p>
      <w:pPr>
        <w:pStyle w:val="ListBullet"/>
        <w:spacing w:after="40"/>
      </w:pPr>
      <w:r>
        <w:t>Savoir structurer et piloter le cas d’usage « Courriers et correspondances premium ».</w:t>
      </w:r>
    </w:p>
    <w:p>
      <w:pPr>
        <w:pStyle w:val="ListBullet"/>
        <w:spacing w:after="40"/>
      </w:pPr>
      <w:r>
        <w:t>Savoir structurer et piloter le cas d’usage « Synthèse de réunions et plan d’action ».</w:t>
      </w:r>
    </w:p>
    <w:p>
      <w:pPr>
        <w:pStyle w:val="ListBullet"/>
        <w:spacing w:after="40"/>
      </w:pPr>
      <w:r>
        <w:t>Savoir structurer et piloter le cas d’usage « Agenda, relances et préparation exécutive ».</w:t>
      </w:r>
    </w:p>
    <w:p>
      <w:pPr>
        <w:pStyle w:val="ListBullet"/>
        <w:spacing w:after="40"/>
      </w:pPr>
      <w:r>
        <w:t>Distinguer les usages immédiatement activables, les usages à encadrer et les usages à piloter dans le temps.</w:t>
      </w:r>
    </w:p>
    <w:p>
      <w:pPr>
        <w:pStyle w:val="ListBullet"/>
        <w:spacing w:after="40"/>
      </w:pPr>
      <w:r>
        <w:t>Définir des KPI simples, un cadre de confiance et un premier plan d’action à 90 jours.</w:t>
      </w:r>
    </w:p>
    <w:p>
      <w:pPr>
        <w:pStyle w:val="Heading2"/>
        <w:spacing w:before="120" w:after="60"/>
      </w:pPr>
      <w:r>
        <w:t>Programme</w:t>
      </w:r>
    </w:p>
    <w:p>
      <w:pPr>
        <w:pStyle w:val="Heading3"/>
        <w:spacing w:before="120" w:after="60"/>
      </w:pPr>
      <w:r>
        <w:t>Jour 1</w:t>
      </w:r>
    </w:p>
    <w:p>
      <w:pPr>
        <w:pStyle w:val="ListBullet"/>
        <w:spacing w:after="40"/>
      </w:pPr>
      <w:r>
        <w:t>Lecture des enjeux sectoriels : Ce contexte concerne les structures où la direction, l’assistanat ou la coordination administrative absorbent un volume élevé de courriers, réunions, validations et suivis transverses.</w:t>
      </w:r>
    </w:p>
    <w:p>
      <w:pPr>
        <w:pStyle w:val="ListBullet"/>
        <w:spacing w:after="40"/>
      </w:pPr>
      <w:r>
        <w:t>Cartographie des priorités métier confirmées : Rédaction lente et dispersée ; Réunions nombreuses, mémoire faible ; Agenda et priorités mal arbitré.</w:t>
      </w:r>
    </w:p>
    <w:p>
      <w:pPr>
        <w:pStyle w:val="ListBullet"/>
        <w:spacing w:after="40"/>
      </w:pPr>
      <w:r>
        <w:t>Études de cas guidées autour de « Courriers et correspondances premium » et « Synthèse de réunions et plan d’action ».</w:t>
      </w:r>
    </w:p>
    <w:p>
      <w:pPr>
        <w:pStyle w:val="ListBullet"/>
        <w:spacing w:after="40"/>
      </w:pPr>
      <w:r>
        <w:t>Méthodes, outils et gestes professionnels à partir des ancrages pédagogiques suivants : Gestion Intelligente de l’Agenda avec l’IA ; Rédaction Professionnelle Assistée par IA ; Synthèse de Réunions avec l’IA.</w:t>
      </w:r>
    </w:p>
    <w:p>
      <w:pPr>
        <w:pStyle w:val="ListBullet"/>
        <w:spacing w:after="40"/>
      </w:pPr>
      <w:r>
        <w:t>Cadre de confiance : confidentialité, supervision humaine, validation managériale et critères d’extension.</w:t>
      </w:r>
    </w:p>
    <w:p>
      <w:pPr>
        <w:pStyle w:val="Heading3"/>
        <w:spacing w:before="120" w:after="60"/>
      </w:pPr>
      <w:r>
        <w:t>Jour 2</w:t>
      </w:r>
    </w:p>
    <w:p>
      <w:pPr>
        <w:pStyle w:val="ListBullet"/>
        <w:spacing w:after="40"/>
      </w:pPr>
      <w:r>
        <w:t>Cette journée s’active lorsque la formule 2 jours est retenue.</w:t>
      </w:r>
    </w:p>
    <w:p>
      <w:pPr>
        <w:pStyle w:val="ListBullet"/>
        <w:spacing w:after="40"/>
      </w:pPr>
      <w:r>
        <w:t>Ateliers de conception sur « Agenda, relances et préparation exécutive » et « Base documentaire d’assistanat ».</w:t>
      </w:r>
    </w:p>
    <w:p>
      <w:pPr>
        <w:pStyle w:val="ListBullet"/>
        <w:spacing w:after="40"/>
      </w:pPr>
      <w:r>
        <w:t>Construction de prompts, trames, routines et scénarios d’usage adaptés au terrain.</w:t>
      </w:r>
    </w:p>
    <w:p>
      <w:pPr>
        <w:pStyle w:val="ListBullet"/>
        <w:spacing w:after="40"/>
      </w:pPr>
      <w:r>
        <w:t>Approfondissements recommandés : Gestion de Projets Augmentée par l’IA ; Communication Professionnelle &amp; IA ; Organisation Digitale et IA.</w:t>
      </w:r>
    </w:p>
    <w:p>
      <w:pPr>
        <w:pStyle w:val="ListBullet"/>
        <w:spacing w:after="40"/>
      </w:pPr>
      <w:r>
        <w:t>Définition du premier pilote, des livrables attendus et des KPI de suivi.</w:t>
      </w:r>
    </w:p>
    <w:p>
      <w:pPr>
        <w:pStyle w:val="ListBullet"/>
        <w:spacing w:after="40"/>
      </w:pPr>
      <w:r>
        <w:t>Plan d’action à 90 jours : séquencement, populations à former, gouvernance et arbitrages de déploiement.</w:t>
      </w:r>
    </w:p>
    <w:p>
      <w:pPr>
        <w:pStyle w:val="Heading2"/>
        <w:spacing w:before="120" w:after="60"/>
      </w:pPr>
      <w:r>
        <w:t>Livrables / attendus</w:t>
      </w:r>
    </w:p>
    <w:p>
      <w:pPr>
        <w:pStyle w:val="ListBullet"/>
        <w:spacing w:after="40"/>
      </w:pPr>
      <w:r>
        <w:t>Une note de cadrage sectorielle pour l’assistanat et le secrétariat avec priorités confirmées, risques et premières décisions.</w:t>
      </w:r>
    </w:p>
    <w:p>
      <w:pPr>
        <w:pStyle w:val="ListBullet"/>
        <w:spacing w:after="40"/>
      </w:pPr>
      <w:r>
        <w:t>Une matrice des cas d’usage prioritaires incluant « Courriers et correspondances premium » ; « Synthèse de réunions et plan d’action » ; « Agenda, relances et préparation exécutive » ; « Base documentaire d’assistanat ».</w:t>
      </w:r>
    </w:p>
    <w:p>
      <w:pPr>
        <w:pStyle w:val="ListBullet"/>
        <w:spacing w:after="40"/>
      </w:pPr>
      <w:r>
        <w:t>Un canevas de pilote à 90 jours avec KPI, rôles, supervision et critères de succès.</w:t>
      </w:r>
    </w:p>
    <w:p>
      <w:pPr>
        <w:pStyle w:val="ListBullet"/>
        <w:spacing w:after="40"/>
      </w:pPr>
      <w:r>
        <w:t>Une recommandation de parcours de montée en compétences à partir de : Gestion Intelligente de l’Agenda avec l’IA ; Rédaction Professionnelle Assistée par IA ; Synthèse de Réunions avec l’IA ; Gestion de Projets Augmentée par l’IA.</w:t>
      </w:r>
    </w:p>
    <w:p>
      <w:pPr>
        <w:pStyle w:val="Heading2"/>
        <w:spacing w:before="120" w:after="60"/>
      </w:pPr>
      <w:r>
        <w:t>Ancrages pédagogiques recommandés</w:t>
      </w:r>
    </w:p>
    <w:p>
      <w:pPr>
        <w:pStyle w:val="ListBullet"/>
        <w:spacing w:after="40"/>
      </w:pPr>
      <w:r>
        <w:t>Gestion Intelligente de l’Agenda avec l’IA</w:t>
      </w:r>
    </w:p>
    <w:p>
      <w:pPr>
        <w:pStyle w:val="ListBullet"/>
        <w:spacing w:after="40"/>
      </w:pPr>
      <w:r>
        <w:t>Rédaction Professionnelle Assistée par IA</w:t>
      </w:r>
    </w:p>
    <w:p>
      <w:pPr>
        <w:pStyle w:val="ListBullet"/>
        <w:spacing w:after="40"/>
      </w:pPr>
      <w:r>
        <w:t>Synthèse de Réunions avec l’IA</w:t>
      </w:r>
    </w:p>
    <w:p>
      <w:pPr>
        <w:pStyle w:val="ListBullet"/>
        <w:spacing w:after="40"/>
      </w:pPr>
      <w:r>
        <w:t>Gestion de Projets Augmentée par l’IA</w:t>
      </w:r>
    </w:p>
    <w:p>
      <w:pPr>
        <w:pStyle w:val="ListBullet"/>
        <w:spacing w:after="40"/>
      </w:pPr>
      <w:r>
        <w:t>Communication Professionnelle &amp; IA</w:t>
      </w:r>
    </w:p>
    <w:p>
      <w:pPr>
        <w:pStyle w:val="ListBullet"/>
        <w:spacing w:after="40"/>
      </w:pPr>
      <w:r>
        <w:t>Organisation Digitale et IA</w:t>
      </w:r>
    </w:p>
    <w:p>
      <w:pPr>
        <w:pStyle w:val="Heading2"/>
        <w:spacing w:before="120" w:after="60"/>
      </w:pPr>
      <w:r>
        <w:t>Mention de personnalisation</w:t>
      </w:r>
    </w:p>
    <w:p>
      <w:pPr>
        <w:pStyle w:val="ListBullet"/>
        <w:spacing w:after="40"/>
      </w:pPr>
      <w:r>
        <w:t>Le contenu final est ajusté après qualification du contexte, des outils déjà utilisés, des données disponibles et des arbitrages de confidentialité propres au prospect.</w:t>
      </w:r>
    </w:p>
    <w:p>
      <w:pPr>
        <w:pStyle w:val="Heading1"/>
        <w:spacing w:before="200" w:after="60"/>
      </w:pPr>
      <w:r>
        <w:t>TransferAI - Mini catalogue premium Ressources Humaines</w:t>
      </w:r>
    </w:p>
    <w:p>
      <w:pPr>
        <w:spacing w:after="120"/>
      </w:pPr>
      <w:r>
        <w:t>Catalogue ciblé par secteur | Formule prioritaire sur mesure | Édition du 2026-06-12</w:t>
      </w:r>
    </w:p>
    <w:p>
      <w:pPr>
        <w:spacing w:after="120"/>
      </w:pPr>
      <w:r>
        <w:t>Ce document est conçu pour des prospects de même univers métier. Il peut être adapté à une organisation précise après audit IA gratuit et échange expert de qualification.</w:t>
      </w:r>
    </w:p>
    <w:p>
      <w:pPr>
        <w:pStyle w:val="Heading1"/>
        <w:spacing w:before="200" w:after="60"/>
      </w:pPr>
      <w:r>
        <w:t>Fiche sectorielle 02 / 16</w:t>
      </w:r>
    </w:p>
    <w:p>
      <w:pPr>
        <w:pStyle w:val="Heading2"/>
        <w:spacing w:before="120" w:after="60"/>
      </w:pPr>
      <w:r>
        <w:t>Domaine de référence</w:t>
      </w:r>
    </w:p>
    <w:p>
      <w:pPr>
        <w:pStyle w:val="ListBullet"/>
        <w:spacing w:after="40"/>
      </w:pPr>
      <w:r>
        <w:t>Ressources Humaines | Contextes proches : RH / Recrutement ; Banque / Finance ; Assurance ; Télécommunications ; Formation professionnelle</w:t>
      </w:r>
    </w:p>
    <w:p>
      <w:pPr>
        <w:pStyle w:val="Heading2"/>
        <w:spacing w:before="120" w:after="60"/>
      </w:pPr>
      <w:r>
        <w:t>Enjeux sectoriels</w:t>
      </w:r>
    </w:p>
    <w:p>
      <w:pPr>
        <w:pStyle w:val="ListBullet"/>
        <w:spacing w:after="40"/>
      </w:pPr>
      <w:r>
        <w:t>Le bon angle RH n’est pas de remplacer le jugement humain. Il consiste à réduire les délais, sécuriser les processus et mieux accompagner les équipes et les managers.</w:t>
      </w:r>
    </w:p>
    <w:p>
      <w:pPr>
        <w:pStyle w:val="ListBullet"/>
        <w:spacing w:after="40"/>
      </w:pPr>
      <w:r>
        <w:t>Recrutement chronophage : Les candidatures, présélections et comptes rendus d’entretien consomment beaucoup de temps dispersé. Le tri, la préparation d’entretiens et les synthèses deviennent plus rapides et plus comparables.</w:t>
      </w:r>
    </w:p>
    <w:p>
      <w:pPr>
        <w:pStyle w:val="ListBullet"/>
        <w:spacing w:after="40"/>
      </w:pPr>
      <w:r>
        <w:t>Onboarding inégal selon les équipes : L’intégration dépend fortement du manager, du site ou de la disponibilité des référents. Des parcours et kits d’accueil mieux structurés homogénéisent les premières semaines.</w:t>
      </w:r>
    </w:p>
    <w:p>
      <w:pPr>
        <w:pStyle w:val="ListBullet"/>
        <w:spacing w:after="40"/>
      </w:pPr>
      <w:r>
        <w:t>Documents RH peu standardisés : Comptes rendus, communications internes, fiches de poste et notes RH sont produits sans méthode stable. Des modèles et workflows assistés améliorent la cohérence sans alourdir l’exécution.</w:t>
      </w:r>
    </w:p>
    <w:p>
      <w:pPr>
        <w:pStyle w:val="ListBullet"/>
        <w:spacing w:after="40"/>
      </w:pPr>
      <w:r>
        <w:t>Faible visibilité sur les signaux RH : Le climat social, les retards d’intégration ou les besoins de formation sont repérés tardivement. L’analyse assistée met en lumière les signaux faibles et les priorités managériales plus tôt.</w:t>
      </w:r>
    </w:p>
    <w:p>
      <w:pPr>
        <w:pStyle w:val="Heading2"/>
        <w:spacing w:before="120" w:after="60"/>
      </w:pPr>
      <w:r>
        <w:t>Contexte secteur à confirmer</w:t>
      </w:r>
    </w:p>
    <w:p>
      <w:pPr>
        <w:pStyle w:val="ListBullet"/>
        <w:spacing w:after="40"/>
      </w:pPr>
      <w:r>
        <w:t>Exemples de contextes proches : RH / Recrutement ; Banque / Finance ; Assurance ; Télécommunications ; Formation professionnelle.</w:t>
      </w:r>
    </w:p>
    <w:p>
      <w:pPr>
        <w:pStyle w:val="ListBullet"/>
        <w:spacing w:after="40"/>
      </w:pPr>
      <w:r>
        <w:t>Les enjeux confirmés au cadrage doivent être reliés à des priorités visibles pour les ressources humaines.</w:t>
      </w:r>
    </w:p>
    <w:p>
      <w:pPr>
        <w:pStyle w:val="ListBullet"/>
        <w:spacing w:after="40"/>
      </w:pPr>
      <w:r>
        <w:t>Le périmètre à confirmer peut concerner un site pilote, une direction donnée, une équipe support ou un processus transverse.</w:t>
      </w:r>
    </w:p>
    <w:p>
      <w:pPr>
        <w:pStyle w:val="ListBullet"/>
        <w:spacing w:after="40"/>
      </w:pPr>
      <w:r>
        <w:t>Les cas d’usage retenus doivent être validés selon les données disponibles, les règles de confidentialité et la capacité de supervision humaine.</w:t>
      </w:r>
    </w:p>
    <w:p>
      <w:pPr>
        <w:pStyle w:val="Heading2"/>
        <w:spacing w:before="120" w:after="60"/>
      </w:pPr>
      <w:r>
        <w:t>Cas d’usage TransferAI mis en avant</w:t>
      </w:r>
    </w:p>
    <w:p>
      <w:pPr>
        <w:pStyle w:val="ListBullet"/>
        <w:spacing w:after="40"/>
      </w:pPr>
      <w:r>
        <w:rPr>
          <w:b/>
        </w:rPr>
        <w:t>Sourcing, tri et synthèse de candidatures</w:t>
      </w:r>
      <w:r>
        <w:t xml:space="preserve"> : Les premières analyses, résumés et questions d’entretien se préparent plus vite et plus proprement. KPI de référence : Temps de présélection ; délai avant premier entretien.</w:t>
      </w:r>
    </w:p>
    <w:p>
      <w:pPr>
        <w:pStyle w:val="ListBullet"/>
        <w:spacing w:after="40"/>
      </w:pPr>
      <w:r>
        <w:rPr>
          <w:b/>
        </w:rPr>
        <w:t>Onboarding structuré et assistant RH interne</w:t>
      </w:r>
      <w:r>
        <w:t xml:space="preserve"> : Un assistant encadré redonne les bonnes réponses, procédures et documents d’intégration. KPI de référence : Temps d’intégration ; satisfaction à 30 jours.</w:t>
      </w:r>
    </w:p>
    <w:p>
      <w:pPr>
        <w:pStyle w:val="ListBullet"/>
        <w:spacing w:after="40"/>
      </w:pPr>
      <w:r>
        <w:rPr>
          <w:b/>
        </w:rPr>
        <w:t>People analytics et suivi des signaux RH</w:t>
      </w:r>
      <w:r>
        <w:t xml:space="preserve"> : Des synthèses assistées aident à piloter départs, besoins de formation et irritants récurrents. KPI de référence : Temps de reporting RH ; nombre de signaux détectés tôt.</w:t>
      </w:r>
    </w:p>
    <w:p>
      <w:pPr>
        <w:pStyle w:val="ListBullet"/>
        <w:spacing w:after="40"/>
      </w:pPr>
      <w:r>
        <w:rPr>
          <w:b/>
        </w:rPr>
        <w:t>Communication RH et marque employeur</w:t>
      </w:r>
      <w:r>
        <w:t xml:space="preserve"> : Les contenus RH gagnent en clarté, fréquence et qualité éditoriale. KPI de référence : Temps de production ; taux d’engagement interne.</w:t>
      </w:r>
    </w:p>
    <w:p>
      <w:pPr>
        <w:pStyle w:val="Heading1"/>
        <w:spacing w:before="200" w:after="60"/>
      </w:pPr>
      <w:r>
        <w:t>Formule prioritaire recommandée</w:t>
      </w:r>
    </w:p>
    <w:p>
      <w:pPr>
        <w:pStyle w:val="Heading2"/>
        <w:spacing w:before="120" w:after="60"/>
      </w:pPr>
      <w:r>
        <w:t>Intitulé</w:t>
      </w:r>
    </w:p>
    <w:p>
      <w:pPr>
        <w:pStyle w:val="ListBullet"/>
        <w:spacing w:after="40"/>
      </w:pPr>
      <w:r>
        <w:t>Bootcamp IA sectoriel Ressources Humaines : de l’acculturation utile au premier pilote mesurable</w:t>
      </w:r>
    </w:p>
    <w:p>
      <w:pPr>
        <w:pStyle w:val="Heading2"/>
        <w:spacing w:before="120" w:after="60"/>
      </w:pPr>
      <w:r>
        <w:t>Public cible</w:t>
      </w:r>
    </w:p>
    <w:p>
      <w:pPr>
        <w:pStyle w:val="ListBullet"/>
        <w:spacing w:after="40"/>
      </w:pPr>
      <w:r>
        <w:t>Directions RH, talent acquisition, formation, HRBP, managers de proximité</w:t>
      </w:r>
    </w:p>
    <w:p>
      <w:pPr>
        <w:pStyle w:val="Heading2"/>
        <w:spacing w:before="120" w:after="60"/>
      </w:pPr>
      <w:r>
        <w:t>Formats possibles</w:t>
      </w:r>
    </w:p>
    <w:p>
      <w:pPr>
        <w:pStyle w:val="ListBullet"/>
        <w:spacing w:after="40"/>
      </w:pPr>
      <w:r>
        <w:t>Présentiel</w:t>
      </w:r>
    </w:p>
    <w:p>
      <w:pPr>
        <w:pStyle w:val="ListBullet"/>
        <w:spacing w:after="40"/>
      </w:pPr>
      <w:r>
        <w:t>Hybride</w:t>
      </w:r>
    </w:p>
    <w:p>
      <w:pPr>
        <w:pStyle w:val="ListBullet"/>
        <w:spacing w:after="40"/>
      </w:pPr>
      <w:r>
        <w:t>En ligne (style webinaire)</w:t>
      </w:r>
    </w:p>
    <w:p>
      <w:pPr>
        <w:pStyle w:val="Heading2"/>
        <w:spacing w:before="120" w:after="60"/>
      </w:pPr>
      <w:r>
        <w:t>Niveaux</w:t>
      </w:r>
    </w:p>
    <w:p>
      <w:pPr>
        <w:pStyle w:val="ListBullet"/>
        <w:spacing w:after="40"/>
      </w:pPr>
      <w:r>
        <w:t>Débutant</w:t>
      </w:r>
    </w:p>
    <w:p>
      <w:pPr>
        <w:pStyle w:val="ListBullet"/>
        <w:spacing w:after="40"/>
      </w:pPr>
      <w:r>
        <w:t>Intermédiaire</w:t>
      </w:r>
    </w:p>
    <w:p>
      <w:pPr>
        <w:pStyle w:val="ListBullet"/>
        <w:spacing w:after="40"/>
      </w:pPr>
      <w:r>
        <w:t>Avancé</w:t>
      </w:r>
    </w:p>
    <w:p>
      <w:pPr>
        <w:pStyle w:val="Heading2"/>
        <w:spacing w:before="120" w:after="60"/>
      </w:pPr>
      <w:r>
        <w:t>Durée</w:t>
      </w:r>
    </w:p>
    <w:p>
      <w:pPr>
        <w:pStyle w:val="ListBullet"/>
        <w:spacing w:after="40"/>
      </w:pPr>
      <w:r>
        <w:t>1 jour : version décideurs et managers</w:t>
      </w:r>
    </w:p>
    <w:p>
      <w:pPr>
        <w:pStyle w:val="ListBullet"/>
        <w:spacing w:after="40"/>
      </w:pPr>
      <w:r>
        <w:t>2 jours : version équipes, managers et mise en pratique</w:t>
      </w:r>
    </w:p>
    <w:p>
      <w:pPr>
        <w:pStyle w:val="Heading2"/>
        <w:spacing w:before="120" w:after="60"/>
      </w:pPr>
      <w:r>
        <w:t>Tarif</w:t>
      </w:r>
    </w:p>
    <w:p>
      <w:pPr>
        <w:pStyle w:val="ListBullet"/>
        <w:spacing w:after="40"/>
      </w:pPr>
      <w:r>
        <w:t>Prix sur demande</w:t>
      </w:r>
    </w:p>
    <w:p>
      <w:pPr>
        <w:pStyle w:val="Heading2"/>
        <w:spacing w:before="120" w:after="60"/>
      </w:pPr>
      <w:r>
        <w:t>Résultats attendus</w:t>
      </w:r>
    </w:p>
    <w:p>
      <w:pPr>
        <w:pStyle w:val="ListBullet"/>
        <w:spacing w:after="40"/>
      </w:pPr>
      <w:r>
        <w:t>25 à 40 % sur le cycle de recrutement (tri, synthèses et préparation).</w:t>
      </w:r>
    </w:p>
    <w:p>
      <w:pPr>
        <w:pStyle w:val="ListBullet"/>
        <w:spacing w:after="40"/>
      </w:pPr>
      <w:r>
        <w:t>Onboarding plus homogène sur plusieurs sites (kit, parcours et réponses types).</w:t>
      </w:r>
    </w:p>
    <w:p>
      <w:pPr>
        <w:pStyle w:val="ListBullet"/>
        <w:spacing w:after="40"/>
      </w:pPr>
      <w:r>
        <w:t>Moins de redites pour les managers et RH (questions fréquentes et documents).</w:t>
      </w:r>
    </w:p>
    <w:p>
      <w:pPr>
        <w:pStyle w:val="ListBullet"/>
        <w:spacing w:after="40"/>
      </w:pPr>
      <w:r>
        <w:t>Décisions mieux documentées sur talents et performance (synthèses et indicateurs RH).</w:t>
      </w:r>
    </w:p>
    <w:p>
      <w:pPr>
        <w:pStyle w:val="ListBullet"/>
        <w:spacing w:after="40"/>
      </w:pPr>
      <w:r>
        <w:t>Une feuille de route claire sur les deux premiers cas d’usage à lancer dans les ressources humaines.</w:t>
      </w:r>
    </w:p>
    <w:p>
      <w:pPr>
        <w:pStyle w:val="ListBullet"/>
        <w:spacing w:after="40"/>
      </w:pPr>
      <w:r>
        <w:t>Une meilleure capacité à relier formation, gouvernance, pilote et retour sur investissement visible.</w:t>
      </w:r>
    </w:p>
    <w:p>
      <w:pPr>
        <w:pStyle w:val="Heading2"/>
        <w:spacing w:before="120" w:after="60"/>
      </w:pPr>
      <w:r>
        <w:t>Objectifs pédagogiques</w:t>
      </w:r>
    </w:p>
    <w:p>
      <w:pPr>
        <w:pStyle w:val="ListBullet"/>
        <w:spacing w:after="40"/>
      </w:pPr>
      <w:r>
        <w:t>Identifier les priorités métier les plus crédibles à traiter par l’IA dans les ressources humaines.</w:t>
      </w:r>
    </w:p>
    <w:p>
      <w:pPr>
        <w:pStyle w:val="ListBullet"/>
        <w:spacing w:after="40"/>
      </w:pPr>
      <w:r>
        <w:t>Savoir structurer et piloter le cas d’usage « Sourcing, tri et synthèse de candidatures ».</w:t>
      </w:r>
    </w:p>
    <w:p>
      <w:pPr>
        <w:pStyle w:val="ListBullet"/>
        <w:spacing w:after="40"/>
      </w:pPr>
      <w:r>
        <w:t>Savoir structurer et piloter le cas d’usage « Onboarding structuré et assistant RH interne ».</w:t>
      </w:r>
    </w:p>
    <w:p>
      <w:pPr>
        <w:pStyle w:val="ListBullet"/>
        <w:spacing w:after="40"/>
      </w:pPr>
      <w:r>
        <w:t>Savoir structurer et piloter le cas d’usage « People analytics et suivi des signaux RH ».</w:t>
      </w:r>
    </w:p>
    <w:p>
      <w:pPr>
        <w:pStyle w:val="ListBullet"/>
        <w:spacing w:after="40"/>
      </w:pPr>
      <w:r>
        <w:t>Distinguer les usages immédiatement activables, les usages à encadrer et les usages à piloter dans le temps.</w:t>
      </w:r>
    </w:p>
    <w:p>
      <w:pPr>
        <w:pStyle w:val="ListBullet"/>
        <w:spacing w:after="40"/>
      </w:pPr>
      <w:r>
        <w:t>Définir des KPI simples, un cadre de confiance et un premier plan d’action à 90 jours.</w:t>
      </w:r>
    </w:p>
    <w:p>
      <w:pPr>
        <w:pStyle w:val="Heading2"/>
        <w:spacing w:before="120" w:after="60"/>
      </w:pPr>
      <w:r>
        <w:t>Programme</w:t>
      </w:r>
    </w:p>
    <w:p>
      <w:pPr>
        <w:pStyle w:val="Heading3"/>
        <w:spacing w:before="120" w:after="60"/>
      </w:pPr>
      <w:r>
        <w:t>Jour 1</w:t>
      </w:r>
    </w:p>
    <w:p>
      <w:pPr>
        <w:pStyle w:val="ListBullet"/>
        <w:spacing w:after="40"/>
      </w:pPr>
      <w:r>
        <w:t>Lecture des enjeux sectoriels : Le bon angle RH n’est pas de remplacer le jugement humain. Il consiste à réduire les délais, sécuriser les processus et mieux accompagner les équipes et les managers.</w:t>
      </w:r>
    </w:p>
    <w:p>
      <w:pPr>
        <w:pStyle w:val="ListBullet"/>
        <w:spacing w:after="40"/>
      </w:pPr>
      <w:r>
        <w:t>Cartographie des priorités métier confirmées : Recrutement chronophage ; Onboarding inégal selon les équipes ; Documents RH peu standardisés.</w:t>
      </w:r>
    </w:p>
    <w:p>
      <w:pPr>
        <w:pStyle w:val="ListBullet"/>
        <w:spacing w:after="40"/>
      </w:pPr>
      <w:r>
        <w:t>Études de cas guidées autour de « Sourcing, tri et synthèse de candidatures » et « Onboarding structuré et assistant RH interne ».</w:t>
      </w:r>
    </w:p>
    <w:p>
      <w:pPr>
        <w:pStyle w:val="ListBullet"/>
        <w:spacing w:after="40"/>
      </w:pPr>
      <w:r>
        <w:t>Méthodes, outils et gestes professionnels à partir des ancrages pédagogiques suivants : IA et Recrutement : Sourcing &amp; Sélection ; Onboarding Automatisé avec l’IA ; Formation Personnalisée des Talents avec l’IA.</w:t>
      </w:r>
    </w:p>
    <w:p>
      <w:pPr>
        <w:pStyle w:val="ListBullet"/>
        <w:spacing w:after="40"/>
      </w:pPr>
      <w:r>
        <w:t>Cadre de confiance : confidentialité, supervision humaine, validation managériale et critères d’extension.</w:t>
      </w:r>
    </w:p>
    <w:p>
      <w:pPr>
        <w:pStyle w:val="Heading3"/>
        <w:spacing w:before="120" w:after="60"/>
      </w:pPr>
      <w:r>
        <w:t>Jour 2</w:t>
      </w:r>
    </w:p>
    <w:p>
      <w:pPr>
        <w:pStyle w:val="ListBullet"/>
        <w:spacing w:after="40"/>
      </w:pPr>
      <w:r>
        <w:t>Cette journée s’active lorsque la formule 2 jours est retenue.</w:t>
      </w:r>
    </w:p>
    <w:p>
      <w:pPr>
        <w:pStyle w:val="ListBullet"/>
        <w:spacing w:after="40"/>
      </w:pPr>
      <w:r>
        <w:t>Ateliers de conception sur « People analytics et suivi des signaux RH » et « Communication RH et marque employeur ».</w:t>
      </w:r>
    </w:p>
    <w:p>
      <w:pPr>
        <w:pStyle w:val="ListBullet"/>
        <w:spacing w:after="40"/>
      </w:pPr>
      <w:r>
        <w:t>Construction de prompts, trames, routines et scénarios d’usage adaptés au terrain.</w:t>
      </w:r>
    </w:p>
    <w:p>
      <w:pPr>
        <w:pStyle w:val="ListBullet"/>
        <w:spacing w:after="40"/>
      </w:pPr>
      <w:r>
        <w:t>Approfondissements recommandés : People Analytics : Données RH et IA ; Marque Employeur et IA ; Droit Social et IA : Conformité Automatisée.</w:t>
      </w:r>
    </w:p>
    <w:p>
      <w:pPr>
        <w:pStyle w:val="ListBullet"/>
        <w:spacing w:after="40"/>
      </w:pPr>
      <w:r>
        <w:t>Définition du premier pilote, des livrables attendus et des KPI de suivi.</w:t>
      </w:r>
    </w:p>
    <w:p>
      <w:pPr>
        <w:pStyle w:val="ListBullet"/>
        <w:spacing w:after="40"/>
      </w:pPr>
      <w:r>
        <w:t>Plan d’action à 90 jours : séquencement, populations à former, gouvernance et arbitrages de déploiement.</w:t>
      </w:r>
    </w:p>
    <w:p>
      <w:pPr>
        <w:pStyle w:val="Heading2"/>
        <w:spacing w:before="120" w:after="60"/>
      </w:pPr>
      <w:r>
        <w:t>Livrables / attendus</w:t>
      </w:r>
    </w:p>
    <w:p>
      <w:pPr>
        <w:pStyle w:val="ListBullet"/>
        <w:spacing w:after="40"/>
      </w:pPr>
      <w:r>
        <w:t>Une note de cadrage sectorielle pour les ressources humaines avec priorités confirmées, risques et premières décisions.</w:t>
      </w:r>
    </w:p>
    <w:p>
      <w:pPr>
        <w:pStyle w:val="ListBullet"/>
        <w:spacing w:after="40"/>
      </w:pPr>
      <w:r>
        <w:t>Une matrice des cas d’usage prioritaires incluant « Sourcing, tri et synthèse de candidatures » ; « Onboarding structuré et assistant RH interne » ; « People analytics et suivi des signaux RH » ; « Communication RH et marque employeur ».</w:t>
      </w:r>
    </w:p>
    <w:p>
      <w:pPr>
        <w:pStyle w:val="ListBullet"/>
        <w:spacing w:after="40"/>
      </w:pPr>
      <w:r>
        <w:t>Un canevas de pilote à 90 jours avec KPI, rôles, supervision et critères de succès.</w:t>
      </w:r>
    </w:p>
    <w:p>
      <w:pPr>
        <w:pStyle w:val="ListBullet"/>
        <w:spacing w:after="40"/>
      </w:pPr>
      <w:r>
        <w:t>Une recommandation de parcours de montée en compétences à partir de : IA et Recrutement : Sourcing &amp; Sélection ; Onboarding Automatisé avec l’IA ; Formation Personnalisée des Talents avec l’IA ; People Analytics : Données RH et IA.</w:t>
      </w:r>
    </w:p>
    <w:p>
      <w:pPr>
        <w:pStyle w:val="Heading2"/>
        <w:spacing w:before="120" w:after="60"/>
      </w:pPr>
      <w:r>
        <w:t>Ancrages pédagogiques recommandés</w:t>
      </w:r>
    </w:p>
    <w:p>
      <w:pPr>
        <w:pStyle w:val="ListBullet"/>
        <w:spacing w:after="40"/>
      </w:pPr>
      <w:r>
        <w:t>IA et Recrutement : Sourcing &amp; Sélection</w:t>
      </w:r>
    </w:p>
    <w:p>
      <w:pPr>
        <w:pStyle w:val="ListBullet"/>
        <w:spacing w:after="40"/>
      </w:pPr>
      <w:r>
        <w:t>Onboarding Automatisé avec l’IA</w:t>
      </w:r>
    </w:p>
    <w:p>
      <w:pPr>
        <w:pStyle w:val="ListBullet"/>
        <w:spacing w:after="40"/>
      </w:pPr>
      <w:r>
        <w:t>Formation Personnalisée des Talents avec l’IA</w:t>
      </w:r>
    </w:p>
    <w:p>
      <w:pPr>
        <w:pStyle w:val="ListBullet"/>
        <w:spacing w:after="40"/>
      </w:pPr>
      <w:r>
        <w:t>People Analytics : Données RH et IA</w:t>
      </w:r>
    </w:p>
    <w:p>
      <w:pPr>
        <w:pStyle w:val="ListBullet"/>
        <w:spacing w:after="40"/>
      </w:pPr>
      <w:r>
        <w:t>Marque Employeur et IA</w:t>
      </w:r>
    </w:p>
    <w:p>
      <w:pPr>
        <w:pStyle w:val="ListBullet"/>
        <w:spacing w:after="40"/>
      </w:pPr>
      <w:r>
        <w:t>Droit Social et IA : Conformité Automatisée</w:t>
      </w:r>
    </w:p>
    <w:p>
      <w:pPr>
        <w:pStyle w:val="Heading2"/>
        <w:spacing w:before="120" w:after="60"/>
      </w:pPr>
      <w:r>
        <w:t>Mention de personnalisation</w:t>
      </w:r>
    </w:p>
    <w:p>
      <w:pPr>
        <w:pStyle w:val="ListBullet"/>
        <w:spacing w:after="40"/>
      </w:pPr>
      <w:r>
        <w:t>Le contenu final est ajusté après qualification du contexte, des outils déjà utilisés, des données disponibles et des arbitrages de confidentialité propres au prospect.</w:t>
      </w:r>
    </w:p>
    <w:p>
      <w:pPr>
        <w:pStyle w:val="Heading1"/>
        <w:spacing w:before="200" w:after="60"/>
      </w:pPr>
      <w:r>
        <w:t>TransferAI - Mini catalogue premium Marketing &amp; Communication</w:t>
      </w:r>
    </w:p>
    <w:p>
      <w:pPr>
        <w:spacing w:after="120"/>
      </w:pPr>
      <w:r>
        <w:t>Catalogue ciblé par secteur | Formule prioritaire sur mesure | Édition du 2026-06-12</w:t>
      </w:r>
    </w:p>
    <w:p>
      <w:pPr>
        <w:spacing w:after="120"/>
      </w:pPr>
      <w:r>
        <w:t>Ce document est conçu pour des prospects de même univers métier. Il peut être adapté à une organisation précise après audit IA gratuit et échange expert de qualification.</w:t>
      </w:r>
    </w:p>
    <w:p>
      <w:pPr>
        <w:pStyle w:val="Heading1"/>
        <w:spacing w:before="200" w:after="60"/>
      </w:pPr>
      <w:r>
        <w:t>Fiche sectorielle 03 / 16</w:t>
      </w:r>
    </w:p>
    <w:p>
      <w:pPr>
        <w:pStyle w:val="Heading2"/>
        <w:spacing w:before="120" w:after="60"/>
      </w:pPr>
      <w:r>
        <w:t>Domaine de référence</w:t>
      </w:r>
    </w:p>
    <w:p>
      <w:pPr>
        <w:pStyle w:val="ListBullet"/>
        <w:spacing w:after="40"/>
      </w:pPr>
      <w:r>
        <w:t>Marketing &amp; Communication | Contextes proches : Télécommunications ; Médias digitaux ; Médias audiovisuels ; Hôtellerie / Tourisme ; Agroalimentaire / Distribution</w:t>
      </w:r>
    </w:p>
    <w:p>
      <w:pPr>
        <w:pStyle w:val="Heading2"/>
        <w:spacing w:before="120" w:after="60"/>
      </w:pPr>
      <w:r>
        <w:t>Enjeux sectoriels</w:t>
      </w:r>
    </w:p>
    <w:p>
      <w:pPr>
        <w:pStyle w:val="ListBullet"/>
        <w:spacing w:after="40"/>
      </w:pPr>
      <w:r>
        <w:t>Dans ce domaine, l’IA doit servir la vitesse éditoriale, la cohérence de marque et la lecture des résultats, pas seulement la production de texte en masse.</w:t>
      </w:r>
    </w:p>
    <w:p>
      <w:pPr>
        <w:pStyle w:val="ListBullet"/>
        <w:spacing w:after="40"/>
      </w:pPr>
      <w:r>
        <w:t>Production de contenu trop coûteuse : Les campagnes dépendent d’allers-retours longs pour créer, adapter et décliner les messages. Les équipes disposent de cadres éditoriaux, variantes et assistants qui accélèrent la production sans perdre le cap de la marque.</w:t>
      </w:r>
    </w:p>
    <w:p>
      <w:pPr>
        <w:pStyle w:val="ListBullet"/>
        <w:spacing w:after="40"/>
      </w:pPr>
      <w:r>
        <w:t>Segmentation peu exploitée : Les audiences sont connues mais insuffisamment traduites en messages, offres ou parcours différenciés. Les segments deviennent plus actionnables grâce à des analyses et suggestions de contenus plus ciblés.</w:t>
      </w:r>
    </w:p>
    <w:p>
      <w:pPr>
        <w:pStyle w:val="ListBullet"/>
        <w:spacing w:after="40"/>
      </w:pPr>
      <w:r>
        <w:t>Peu de lecture rapide des résultats : Les reporting de campagne existent mais restent longs à relire, commenter et arbitrer. Les résultats sont synthétisés plus vite pour mieux décider : quoi arrêter, amplifier ou corriger.</w:t>
      </w:r>
    </w:p>
    <w:p>
      <w:pPr>
        <w:pStyle w:val="ListBullet"/>
        <w:spacing w:after="40"/>
      </w:pPr>
      <w:r>
        <w:t>Hétérogénéité multicanale : Chaque canal avance à son rythme et la cohérence du message se dégrade. Les assets et messages sont harmonisés plus facilement entre social, email, site et sales enablement.</w:t>
      </w:r>
    </w:p>
    <w:p>
      <w:pPr>
        <w:pStyle w:val="Heading2"/>
        <w:spacing w:before="120" w:after="60"/>
      </w:pPr>
      <w:r>
        <w:t>Contexte secteur à confirmer</w:t>
      </w:r>
    </w:p>
    <w:p>
      <w:pPr>
        <w:pStyle w:val="ListBullet"/>
        <w:spacing w:after="40"/>
      </w:pPr>
      <w:r>
        <w:t>Exemples de contextes proches : Télécommunications ; Médias digitaux ; Médias audiovisuels ; Hôtellerie / Tourisme ; Agroalimentaire / Distribution.</w:t>
      </w:r>
    </w:p>
    <w:p>
      <w:pPr>
        <w:pStyle w:val="ListBullet"/>
        <w:spacing w:after="40"/>
      </w:pPr>
      <w:r>
        <w:t>Les enjeux confirmés au cadrage doivent être reliés à des priorités visibles pour le marketing et la communication.</w:t>
      </w:r>
    </w:p>
    <w:p>
      <w:pPr>
        <w:pStyle w:val="ListBullet"/>
        <w:spacing w:after="40"/>
      </w:pPr>
      <w:r>
        <w:t>Le périmètre à confirmer peut concerner un site pilote, une direction donnée, une équipe support ou un processus transverse.</w:t>
      </w:r>
    </w:p>
    <w:p>
      <w:pPr>
        <w:pStyle w:val="ListBullet"/>
        <w:spacing w:after="40"/>
      </w:pPr>
      <w:r>
        <w:t>Les cas d’usage retenus doivent être validés selon les données disponibles, les règles de confidentialité et la capacité de supervision humaine.</w:t>
      </w:r>
    </w:p>
    <w:p>
      <w:pPr>
        <w:pStyle w:val="Heading2"/>
        <w:spacing w:before="120" w:after="60"/>
      </w:pPr>
      <w:r>
        <w:t>Cas d’usage TransferAI mis en avant</w:t>
      </w:r>
    </w:p>
    <w:p>
      <w:pPr>
        <w:pStyle w:val="ListBullet"/>
        <w:spacing w:after="40"/>
      </w:pPr>
      <w:r>
        <w:rPr>
          <w:b/>
        </w:rPr>
        <w:t>Machine à contenus multiformats</w:t>
      </w:r>
      <w:r>
        <w:t xml:space="preserve"> : Un cadre outillé permet de produire plus vite des contenus cohérents pour plusieurs canaux. KPI de référence : Temps de mise en campagne ; volume d’assets produits.</w:t>
      </w:r>
    </w:p>
    <w:p>
      <w:pPr>
        <w:pStyle w:val="ListBullet"/>
        <w:spacing w:after="40"/>
      </w:pPr>
      <w:r>
        <w:rPr>
          <w:b/>
        </w:rPr>
        <w:t>Segmentation et lecture des audiences</w:t>
      </w:r>
      <w:r>
        <w:t xml:space="preserve"> : L’IA aide à reformuler les segments et à relier audiences, arguments et formats. KPI de référence : Taux d’engagement par segment ; coût d’acquisition par cohorte.</w:t>
      </w:r>
    </w:p>
    <w:p>
      <w:pPr>
        <w:pStyle w:val="ListBullet"/>
        <w:spacing w:after="40"/>
      </w:pPr>
      <w:r>
        <w:rPr>
          <w:b/>
        </w:rPr>
        <w:t>Copywriting et conversion</w:t>
      </w:r>
      <w:r>
        <w:t xml:space="preserve"> : Les équipes gagnent des variantes plus rapides à tester pour landing pages, emails et posts. KPI de référence : Temps de rédaction ; taux de clic ou conversion.</w:t>
      </w:r>
    </w:p>
    <w:p>
      <w:pPr>
        <w:pStyle w:val="ListBullet"/>
        <w:spacing w:after="40"/>
      </w:pPr>
      <w:r>
        <w:rPr>
          <w:b/>
        </w:rPr>
        <w:t>Synthèse de campagnes et recommandations</w:t>
      </w:r>
      <w:r>
        <w:t xml:space="preserve"> : Les résultats sont résumés avec recommandations plus lisibles pour arbitrer rapidement. KPI de référence : Temps de reporting ; délai de décision après campagne.</w:t>
      </w:r>
    </w:p>
    <w:p>
      <w:pPr>
        <w:pStyle w:val="Heading1"/>
        <w:spacing w:before="200" w:after="60"/>
      </w:pPr>
      <w:r>
        <w:t>Formule prioritaire recommandée</w:t>
      </w:r>
    </w:p>
    <w:p>
      <w:pPr>
        <w:pStyle w:val="Heading2"/>
        <w:spacing w:before="120" w:after="60"/>
      </w:pPr>
      <w:r>
        <w:t>Intitulé</w:t>
      </w:r>
    </w:p>
    <w:p>
      <w:pPr>
        <w:pStyle w:val="ListBullet"/>
        <w:spacing w:after="40"/>
      </w:pPr>
      <w:r>
        <w:t>Bootcamp IA sectoriel Marketing &amp; Communication : de l’acculturation utile au premier pilote mesurable</w:t>
      </w:r>
    </w:p>
    <w:p>
      <w:pPr>
        <w:pStyle w:val="Heading2"/>
        <w:spacing w:before="120" w:after="60"/>
      </w:pPr>
      <w:r>
        <w:t>Public cible</w:t>
      </w:r>
    </w:p>
    <w:p>
      <w:pPr>
        <w:pStyle w:val="ListBullet"/>
        <w:spacing w:after="40"/>
      </w:pPr>
      <w:r>
        <w:t>Directions marketing, communication, brand, digital, contenu et acquisition</w:t>
      </w:r>
    </w:p>
    <w:p>
      <w:pPr>
        <w:pStyle w:val="Heading2"/>
        <w:spacing w:before="120" w:after="60"/>
      </w:pPr>
      <w:r>
        <w:t>Formats possibles</w:t>
      </w:r>
    </w:p>
    <w:p>
      <w:pPr>
        <w:pStyle w:val="ListBullet"/>
        <w:spacing w:after="40"/>
      </w:pPr>
      <w:r>
        <w:t>Présentiel</w:t>
      </w:r>
    </w:p>
    <w:p>
      <w:pPr>
        <w:pStyle w:val="ListBullet"/>
        <w:spacing w:after="40"/>
      </w:pPr>
      <w:r>
        <w:t>Hybride</w:t>
      </w:r>
    </w:p>
    <w:p>
      <w:pPr>
        <w:pStyle w:val="ListBullet"/>
        <w:spacing w:after="40"/>
      </w:pPr>
      <w:r>
        <w:t>En ligne (style webinaire)</w:t>
      </w:r>
    </w:p>
    <w:p>
      <w:pPr>
        <w:pStyle w:val="Heading2"/>
        <w:spacing w:before="120" w:after="60"/>
      </w:pPr>
      <w:r>
        <w:t>Niveaux</w:t>
      </w:r>
    </w:p>
    <w:p>
      <w:pPr>
        <w:pStyle w:val="ListBullet"/>
        <w:spacing w:after="40"/>
      </w:pPr>
      <w:r>
        <w:t>Débutant</w:t>
      </w:r>
    </w:p>
    <w:p>
      <w:pPr>
        <w:pStyle w:val="ListBullet"/>
        <w:spacing w:after="40"/>
      </w:pPr>
      <w:r>
        <w:t>Intermédiaire</w:t>
      </w:r>
    </w:p>
    <w:p>
      <w:pPr>
        <w:pStyle w:val="ListBullet"/>
        <w:spacing w:after="40"/>
      </w:pPr>
      <w:r>
        <w:t>Avancé</w:t>
      </w:r>
    </w:p>
    <w:p>
      <w:pPr>
        <w:pStyle w:val="Heading2"/>
        <w:spacing w:before="120" w:after="60"/>
      </w:pPr>
      <w:r>
        <w:t>Durée</w:t>
      </w:r>
    </w:p>
    <w:p>
      <w:pPr>
        <w:pStyle w:val="ListBullet"/>
        <w:spacing w:after="40"/>
      </w:pPr>
      <w:r>
        <w:t>1 jour : version décideurs et managers</w:t>
      </w:r>
    </w:p>
    <w:p>
      <w:pPr>
        <w:pStyle w:val="ListBullet"/>
        <w:spacing w:after="40"/>
      </w:pPr>
      <w:r>
        <w:t>2 jours : version équipes, managers et mise en pratique</w:t>
      </w:r>
    </w:p>
    <w:p>
      <w:pPr>
        <w:pStyle w:val="Heading2"/>
        <w:spacing w:before="120" w:after="60"/>
      </w:pPr>
      <w:r>
        <w:t>Tarif</w:t>
      </w:r>
    </w:p>
    <w:p>
      <w:pPr>
        <w:pStyle w:val="ListBullet"/>
        <w:spacing w:after="40"/>
      </w:pPr>
      <w:r>
        <w:t>Prix sur demande</w:t>
      </w:r>
    </w:p>
    <w:p>
      <w:pPr>
        <w:pStyle w:val="Heading2"/>
        <w:spacing w:before="120" w:after="60"/>
      </w:pPr>
      <w:r>
        <w:t>Résultats attendus</w:t>
      </w:r>
    </w:p>
    <w:p>
      <w:pPr>
        <w:pStyle w:val="ListBullet"/>
        <w:spacing w:after="40"/>
      </w:pPr>
      <w:r>
        <w:t>40 à 70 % sur le temps de production (brief, variantes, déclinaisons).</w:t>
      </w:r>
    </w:p>
    <w:p>
      <w:pPr>
        <w:pStyle w:val="ListBullet"/>
        <w:spacing w:after="40"/>
      </w:pPr>
      <w:r>
        <w:t>Meilleure cohérence entre canaux (promesse, ton et priorités).</w:t>
      </w:r>
    </w:p>
    <w:p>
      <w:pPr>
        <w:pStyle w:val="ListBullet"/>
        <w:spacing w:after="40"/>
      </w:pPr>
      <w:r>
        <w:t>Lecture plus rapide des campagnes (commentaires et arbitrages).</w:t>
      </w:r>
    </w:p>
    <w:p>
      <w:pPr>
        <w:pStyle w:val="ListBullet"/>
        <w:spacing w:after="40"/>
      </w:pPr>
      <w:r>
        <w:t>Segmentation plus utile pour les équipes growth (messages plus ciblés).</w:t>
      </w:r>
    </w:p>
    <w:p>
      <w:pPr>
        <w:pStyle w:val="ListBullet"/>
        <w:spacing w:after="40"/>
      </w:pPr>
      <w:r>
        <w:t>Une feuille de route claire sur les deux premiers cas d’usage à lancer dans le marketing et la communication.</w:t>
      </w:r>
    </w:p>
    <w:p>
      <w:pPr>
        <w:pStyle w:val="ListBullet"/>
        <w:spacing w:after="40"/>
      </w:pPr>
      <w:r>
        <w:t>Une meilleure capacité à relier formation, gouvernance, pilote et retour sur investissement visible.</w:t>
      </w:r>
    </w:p>
    <w:p>
      <w:pPr>
        <w:pStyle w:val="Heading2"/>
        <w:spacing w:before="120" w:after="60"/>
      </w:pPr>
      <w:r>
        <w:t>Objectifs pédagogiques</w:t>
      </w:r>
    </w:p>
    <w:p>
      <w:pPr>
        <w:pStyle w:val="ListBullet"/>
        <w:spacing w:after="40"/>
      </w:pPr>
      <w:r>
        <w:t>Identifier les priorités métier les plus crédibles à traiter par l’IA dans le marketing et la communication.</w:t>
      </w:r>
    </w:p>
    <w:p>
      <w:pPr>
        <w:pStyle w:val="ListBullet"/>
        <w:spacing w:after="40"/>
      </w:pPr>
      <w:r>
        <w:t>Savoir structurer et piloter le cas d’usage « Machine à contenus multiformats ».</w:t>
      </w:r>
    </w:p>
    <w:p>
      <w:pPr>
        <w:pStyle w:val="ListBullet"/>
        <w:spacing w:after="40"/>
      </w:pPr>
      <w:r>
        <w:t>Savoir structurer et piloter le cas d’usage « Segmentation et lecture des audiences ».</w:t>
      </w:r>
    </w:p>
    <w:p>
      <w:pPr>
        <w:pStyle w:val="ListBullet"/>
        <w:spacing w:after="40"/>
      </w:pPr>
      <w:r>
        <w:t>Savoir structurer et piloter le cas d’usage « Copywriting et conversion ».</w:t>
      </w:r>
    </w:p>
    <w:p>
      <w:pPr>
        <w:pStyle w:val="ListBullet"/>
        <w:spacing w:after="40"/>
      </w:pPr>
      <w:r>
        <w:t>Distinguer les usages immédiatement activables, les usages à encadrer et les usages à piloter dans le temps.</w:t>
      </w:r>
    </w:p>
    <w:p>
      <w:pPr>
        <w:pStyle w:val="ListBullet"/>
        <w:spacing w:after="40"/>
      </w:pPr>
      <w:r>
        <w:t>Définir des KPI simples, un cadre de confiance et un premier plan d’action à 90 jours.</w:t>
      </w:r>
    </w:p>
    <w:p>
      <w:pPr>
        <w:pStyle w:val="Heading2"/>
        <w:spacing w:before="120" w:after="60"/>
      </w:pPr>
      <w:r>
        <w:t>Programme</w:t>
      </w:r>
    </w:p>
    <w:p>
      <w:pPr>
        <w:pStyle w:val="Heading3"/>
        <w:spacing w:before="120" w:after="60"/>
      </w:pPr>
      <w:r>
        <w:t>Jour 1</w:t>
      </w:r>
    </w:p>
    <w:p>
      <w:pPr>
        <w:pStyle w:val="ListBullet"/>
        <w:spacing w:after="40"/>
      </w:pPr>
      <w:r>
        <w:t>Lecture des enjeux sectoriels : Dans ce domaine, l’IA doit servir la vitesse éditoriale, la cohérence de marque et la lecture des résultats, pas seulement la production de texte en masse.</w:t>
      </w:r>
    </w:p>
    <w:p>
      <w:pPr>
        <w:pStyle w:val="ListBullet"/>
        <w:spacing w:after="40"/>
      </w:pPr>
      <w:r>
        <w:t>Cartographie des priorités métier confirmées : Production de contenu trop coûteuse ; Segmentation peu exploitée ; Peu de lecture rapide des résultats.</w:t>
      </w:r>
    </w:p>
    <w:p>
      <w:pPr>
        <w:pStyle w:val="ListBullet"/>
        <w:spacing w:after="40"/>
      </w:pPr>
      <w:r>
        <w:t>Études de cas guidées autour de « Machine à contenus multiformats » et « Segmentation et lecture des audiences ».</w:t>
      </w:r>
    </w:p>
    <w:p>
      <w:pPr>
        <w:pStyle w:val="ListBullet"/>
        <w:spacing w:after="40"/>
      </w:pPr>
      <w:r>
        <w:t>Méthodes, outils et gestes professionnels à partir des ancrages pédagogiques suivants : Création de Contenu Marketing avec l’IA ; Stratégie Marketing Data-Driven avec l’IA ; Analyse d’Audience et Segmentation IA.</w:t>
      </w:r>
    </w:p>
    <w:p>
      <w:pPr>
        <w:pStyle w:val="ListBullet"/>
        <w:spacing w:after="40"/>
      </w:pPr>
      <w:r>
        <w:t>Cadre de confiance : confidentialité, supervision humaine, validation managériale et critères d’extension.</w:t>
      </w:r>
    </w:p>
    <w:p>
      <w:pPr>
        <w:pStyle w:val="Heading3"/>
        <w:spacing w:before="120" w:after="60"/>
      </w:pPr>
      <w:r>
        <w:t>Jour 2</w:t>
      </w:r>
    </w:p>
    <w:p>
      <w:pPr>
        <w:pStyle w:val="ListBullet"/>
        <w:spacing w:after="40"/>
      </w:pPr>
      <w:r>
        <w:t>Cette journée s’active lorsque la formule 2 jours est retenue.</w:t>
      </w:r>
    </w:p>
    <w:p>
      <w:pPr>
        <w:pStyle w:val="ListBullet"/>
        <w:spacing w:after="40"/>
      </w:pPr>
      <w:r>
        <w:t>Ateliers de conception sur « Copywriting et conversion » et « Synthèse de campagnes et recommandations ».</w:t>
      </w:r>
    </w:p>
    <w:p>
      <w:pPr>
        <w:pStyle w:val="ListBullet"/>
        <w:spacing w:after="40"/>
      </w:pPr>
      <w:r>
        <w:t>Construction de prompts, trames, routines et scénarios d’usage adaptés au terrain.</w:t>
      </w:r>
    </w:p>
    <w:p>
      <w:pPr>
        <w:pStyle w:val="ListBullet"/>
        <w:spacing w:after="40"/>
      </w:pPr>
      <w:r>
        <w:t>Approfondissements recommandés : Copywriting IA : Rédiger des Textes qui Convertissent ; Social Media Management avec l’IA ; Publicité Digitale Optimisée par l’IA.</w:t>
      </w:r>
    </w:p>
    <w:p>
      <w:pPr>
        <w:pStyle w:val="ListBullet"/>
        <w:spacing w:after="40"/>
      </w:pPr>
      <w:r>
        <w:t>Définition du premier pilote, des livrables attendus et des KPI de suivi.</w:t>
      </w:r>
    </w:p>
    <w:p>
      <w:pPr>
        <w:pStyle w:val="ListBullet"/>
        <w:spacing w:after="40"/>
      </w:pPr>
      <w:r>
        <w:t>Plan d’action à 90 jours : séquencement, populations à former, gouvernance et arbitrages de déploiement.</w:t>
      </w:r>
    </w:p>
    <w:p>
      <w:pPr>
        <w:pStyle w:val="Heading2"/>
        <w:spacing w:before="120" w:after="60"/>
      </w:pPr>
      <w:r>
        <w:t>Livrables / attendus</w:t>
      </w:r>
    </w:p>
    <w:p>
      <w:pPr>
        <w:pStyle w:val="ListBullet"/>
        <w:spacing w:after="40"/>
      </w:pPr>
      <w:r>
        <w:t>Une note de cadrage sectorielle pour le marketing et la communication avec priorités confirmées, risques et premières décisions.</w:t>
      </w:r>
    </w:p>
    <w:p>
      <w:pPr>
        <w:pStyle w:val="ListBullet"/>
        <w:spacing w:after="40"/>
      </w:pPr>
      <w:r>
        <w:t>Une matrice des cas d’usage prioritaires incluant « Machine à contenus multiformats » ; « Segmentation et lecture des audiences » ; « Copywriting et conversion » ; « Synthèse de campagnes et recommandations ».</w:t>
      </w:r>
    </w:p>
    <w:p>
      <w:pPr>
        <w:pStyle w:val="ListBullet"/>
        <w:spacing w:after="40"/>
      </w:pPr>
      <w:r>
        <w:t>Un canevas de pilote à 90 jours avec KPI, rôles, supervision et critères de succès.</w:t>
      </w:r>
    </w:p>
    <w:p>
      <w:pPr>
        <w:pStyle w:val="ListBullet"/>
        <w:spacing w:after="40"/>
      </w:pPr>
      <w:r>
        <w:t>Une recommandation de parcours de montée en compétences à partir de : Création de Contenu Marketing avec l’IA ; Stratégie Marketing Data-Driven avec l’IA ; Analyse d’Audience et Segmentation IA ; Copywriting IA : Rédiger des Textes qui Convertissent.</w:t>
      </w:r>
    </w:p>
    <w:p>
      <w:pPr>
        <w:pStyle w:val="Heading2"/>
        <w:spacing w:before="120" w:after="60"/>
      </w:pPr>
      <w:r>
        <w:t>Ancrages pédagogiques recommandés</w:t>
      </w:r>
    </w:p>
    <w:p>
      <w:pPr>
        <w:pStyle w:val="ListBullet"/>
        <w:spacing w:after="40"/>
      </w:pPr>
      <w:r>
        <w:t>Création de Contenu Marketing avec l’IA</w:t>
      </w:r>
    </w:p>
    <w:p>
      <w:pPr>
        <w:pStyle w:val="ListBullet"/>
        <w:spacing w:after="40"/>
      </w:pPr>
      <w:r>
        <w:t>Stratégie Marketing Data-Driven avec l’IA</w:t>
      </w:r>
    </w:p>
    <w:p>
      <w:pPr>
        <w:pStyle w:val="ListBullet"/>
        <w:spacing w:after="40"/>
      </w:pPr>
      <w:r>
        <w:t>Analyse d’Audience et Segmentation IA</w:t>
      </w:r>
    </w:p>
    <w:p>
      <w:pPr>
        <w:pStyle w:val="ListBullet"/>
        <w:spacing w:after="40"/>
      </w:pPr>
      <w:r>
        <w:t>Copywriting IA : Rédiger des Textes qui Convertissent</w:t>
      </w:r>
    </w:p>
    <w:p>
      <w:pPr>
        <w:pStyle w:val="ListBullet"/>
        <w:spacing w:after="40"/>
      </w:pPr>
      <w:r>
        <w:t>Social Media Management avec l’IA</w:t>
      </w:r>
    </w:p>
    <w:p>
      <w:pPr>
        <w:pStyle w:val="ListBullet"/>
        <w:spacing w:after="40"/>
      </w:pPr>
      <w:r>
        <w:t>Publicité Digitale Optimisée par l’IA</w:t>
      </w:r>
    </w:p>
    <w:p>
      <w:pPr>
        <w:pStyle w:val="Heading2"/>
        <w:spacing w:before="120" w:after="60"/>
      </w:pPr>
      <w:r>
        <w:t>Mention de personnalisation</w:t>
      </w:r>
    </w:p>
    <w:p>
      <w:pPr>
        <w:pStyle w:val="ListBullet"/>
        <w:spacing w:after="40"/>
      </w:pPr>
      <w:r>
        <w:t>Le contenu final est ajusté après qualification du contexte, des outils déjà utilisés, des données disponibles et des arbitrages de confidentialité propres au prospect.</w:t>
      </w:r>
    </w:p>
    <w:p>
      <w:pPr>
        <w:pStyle w:val="Heading1"/>
        <w:spacing w:before="200" w:after="60"/>
      </w:pPr>
      <w:r>
        <w:t>TransferAI - Mini catalogue premium Finance &amp; Comptabilité</w:t>
      </w:r>
    </w:p>
    <w:p>
      <w:pPr>
        <w:spacing w:after="120"/>
      </w:pPr>
      <w:r>
        <w:t>Catalogue ciblé par secteur | Formule prioritaire sur mesure | Édition du 2026-06-12</w:t>
      </w:r>
    </w:p>
    <w:p>
      <w:pPr>
        <w:spacing w:after="120"/>
      </w:pPr>
      <w:r>
        <w:t>Ce document est conçu pour des prospects de même univers métier. Il peut être adapté à une organisation précise après audit IA gratuit et échange expert de qualification.</w:t>
      </w:r>
    </w:p>
    <w:p>
      <w:pPr>
        <w:pStyle w:val="Heading1"/>
        <w:spacing w:before="200" w:after="60"/>
      </w:pPr>
      <w:r>
        <w:t>Fiche sectorielle 04 / 16</w:t>
      </w:r>
    </w:p>
    <w:p>
      <w:pPr>
        <w:pStyle w:val="Heading2"/>
        <w:spacing w:before="120" w:after="60"/>
      </w:pPr>
      <w:r>
        <w:t>Domaine de référence</w:t>
      </w:r>
    </w:p>
    <w:p>
      <w:pPr>
        <w:pStyle w:val="ListBullet"/>
        <w:spacing w:after="40"/>
      </w:pPr>
      <w:r>
        <w:t>Finance &amp; Comptabilité | Contextes proches : Banque / Finance ; Microfinance ; Fintech / Mobile Money ; Assurance ; Finance / Développement</w:t>
      </w:r>
    </w:p>
    <w:p>
      <w:pPr>
        <w:pStyle w:val="Heading2"/>
        <w:spacing w:before="120" w:after="60"/>
      </w:pPr>
      <w:r>
        <w:t>Enjeux sectoriels</w:t>
      </w:r>
    </w:p>
    <w:p>
      <w:pPr>
        <w:pStyle w:val="ListBullet"/>
        <w:spacing w:after="40"/>
      </w:pPr>
      <w:r>
        <w:t>Dans les fonctions finance, l’IA devient utile quand elle réduit les délais de lecture, de consolidation et de préparation des arbitrages sans compromettre la fiabilité.</w:t>
      </w:r>
    </w:p>
    <w:p>
      <w:pPr>
        <w:pStyle w:val="ListBullet"/>
        <w:spacing w:after="40"/>
      </w:pPr>
      <w:r>
        <w:t>Reporting lourd et répétitif : Les équipes passent beaucoup de temps à préparer, commenter et reformater l’information financière. Les synthèses, commentaires et formats de restitution se préparent plus vite et plus proprement.</w:t>
      </w:r>
    </w:p>
    <w:p>
      <w:pPr>
        <w:pStyle w:val="ListBullet"/>
        <w:spacing w:after="40"/>
      </w:pPr>
      <w:r>
        <w:t>Contrôles encore trop artisanaux : Les revues de cohérence, détections d’anomalies et analyses d’écarts reposent sur beaucoup d’efforts manuels. Des routines d’assistance accélèrent les revues et font mieux ressortir les points à investiguer.</w:t>
      </w:r>
    </w:p>
    <w:p>
      <w:pPr>
        <w:pStyle w:val="ListBullet"/>
        <w:spacing w:after="40"/>
      </w:pPr>
      <w:r>
        <w:t>Décision tardive faute de lecture claire : Les comités reçoivent l’information, mais trop tard ou trop brute pour arbitrer vite. Les décideurs disposent de notes plus synthétiques, plus lisibles et mieux reliées aux KPI.</w:t>
      </w:r>
    </w:p>
    <w:p>
      <w:pPr>
        <w:pStyle w:val="ListBullet"/>
        <w:spacing w:after="40"/>
      </w:pPr>
      <w:r>
        <w:t>Multiplication des demandes ad hoc : Chaque demande de tableau, analyse ou note perturbe la cadence des équipes comptables et contrôle. Des kits réutilisables réduisent les reprises et sécurisent les formats attendus.</w:t>
      </w:r>
    </w:p>
    <w:p>
      <w:pPr>
        <w:pStyle w:val="Heading2"/>
        <w:spacing w:before="120" w:after="60"/>
      </w:pPr>
      <w:r>
        <w:t>Contexte secteur à confirmer</w:t>
      </w:r>
    </w:p>
    <w:p>
      <w:pPr>
        <w:pStyle w:val="ListBullet"/>
        <w:spacing w:after="40"/>
      </w:pPr>
      <w:r>
        <w:t>Exemples de contextes proches : Banque / Finance ; Microfinance ; Fintech / Mobile Money ; Assurance ; Finance / Développement.</w:t>
      </w:r>
    </w:p>
    <w:p>
      <w:pPr>
        <w:pStyle w:val="ListBullet"/>
        <w:spacing w:after="40"/>
      </w:pPr>
      <w:r>
        <w:t>Les enjeux confirmés au cadrage doivent être reliés à des priorités visibles pour la finance et la comptabilité.</w:t>
      </w:r>
    </w:p>
    <w:p>
      <w:pPr>
        <w:pStyle w:val="ListBullet"/>
        <w:spacing w:after="40"/>
      </w:pPr>
      <w:r>
        <w:t>Le périmètre à confirmer peut concerner un site pilote, une direction donnée, une équipe support ou un processus transverse.</w:t>
      </w:r>
    </w:p>
    <w:p>
      <w:pPr>
        <w:pStyle w:val="ListBullet"/>
        <w:spacing w:after="40"/>
      </w:pPr>
      <w:r>
        <w:t>Les cas d’usage retenus doivent être validés selon les données disponibles, les règles de confidentialité et la capacité de supervision humaine.</w:t>
      </w:r>
    </w:p>
    <w:p>
      <w:pPr>
        <w:pStyle w:val="Heading2"/>
        <w:spacing w:before="120" w:after="60"/>
      </w:pPr>
      <w:r>
        <w:t>Cas d’usage TransferAI mis en avant</w:t>
      </w:r>
    </w:p>
    <w:p>
      <w:pPr>
        <w:pStyle w:val="ListBullet"/>
        <w:spacing w:after="40"/>
      </w:pPr>
      <w:r>
        <w:rPr>
          <w:b/>
        </w:rPr>
        <w:t>Reporting financier automatisé</w:t>
      </w:r>
      <w:r>
        <w:t xml:space="preserve"> : L’IA accélère la production des commentaires, résumés et supports de lecture pour les décideurs. KPI de référence : Temps de production mensuel ; délai avant diffusion.</w:t>
      </w:r>
    </w:p>
    <w:p>
      <w:pPr>
        <w:pStyle w:val="ListBullet"/>
        <w:spacing w:after="40"/>
      </w:pPr>
      <w:r>
        <w:rPr>
          <w:b/>
        </w:rPr>
        <w:t>Pré-clôture et détection d’anomalies</w:t>
      </w:r>
      <w:r>
        <w:t xml:space="preserve"> : Les écarts et exceptions sont mieux repérés avant arbitrage humain et investigation détaillée. KPI de référence : Temps de revue ; nombre d’anomalies détectées plus tôt.</w:t>
      </w:r>
    </w:p>
    <w:p>
      <w:pPr>
        <w:pStyle w:val="ListBullet"/>
        <w:spacing w:after="40"/>
      </w:pPr>
      <w:r>
        <w:rPr>
          <w:b/>
        </w:rPr>
        <w:t>Audit interne augmenté</w:t>
      </w:r>
      <w:r>
        <w:t xml:space="preserve"> : Les auditeurs gagnent du temps sur les notes, checklists, synthèses et points d’attention. KPI de référence : Temps de préparation mission ; couverture documentaire.</w:t>
      </w:r>
    </w:p>
    <w:p>
      <w:pPr>
        <w:pStyle w:val="ListBullet"/>
        <w:spacing w:after="40"/>
      </w:pPr>
      <w:r>
        <w:rPr>
          <w:b/>
        </w:rPr>
        <w:t>Prévisions et trésorerie mieux relues</w:t>
      </w:r>
      <w:r>
        <w:t xml:space="preserve"> : Les scénarios deviennent plus lisibles et les hypothèses plus faciles à challenger. KPI de référence : Temps de préparation budgétaire ; délai d’arbitrage.</w:t>
      </w:r>
    </w:p>
    <w:p>
      <w:pPr>
        <w:pStyle w:val="Heading1"/>
        <w:spacing w:before="200" w:after="60"/>
      </w:pPr>
      <w:r>
        <w:t>Formule prioritaire recommandée</w:t>
      </w:r>
    </w:p>
    <w:p>
      <w:pPr>
        <w:pStyle w:val="Heading2"/>
        <w:spacing w:before="120" w:after="60"/>
      </w:pPr>
      <w:r>
        <w:t>Intitulé</w:t>
      </w:r>
    </w:p>
    <w:p>
      <w:pPr>
        <w:pStyle w:val="ListBullet"/>
        <w:spacing w:after="40"/>
      </w:pPr>
      <w:r>
        <w:t>Bootcamp IA sectoriel Finance &amp; Comptabilité : de l’acculturation utile au premier pilote mesurable</w:t>
      </w:r>
    </w:p>
    <w:p>
      <w:pPr>
        <w:pStyle w:val="Heading2"/>
        <w:spacing w:before="120" w:after="60"/>
      </w:pPr>
      <w:r>
        <w:t>Public cible</w:t>
      </w:r>
    </w:p>
    <w:p>
      <w:pPr>
        <w:pStyle w:val="ListBullet"/>
        <w:spacing w:after="40"/>
      </w:pPr>
      <w:r>
        <w:t>Directions financières, contrôle de gestion, comptabilité, audit interne, trésorerie</w:t>
      </w:r>
    </w:p>
    <w:p>
      <w:pPr>
        <w:pStyle w:val="Heading2"/>
        <w:spacing w:before="120" w:after="60"/>
      </w:pPr>
      <w:r>
        <w:t>Formats possibles</w:t>
      </w:r>
    </w:p>
    <w:p>
      <w:pPr>
        <w:pStyle w:val="ListBullet"/>
        <w:spacing w:after="40"/>
      </w:pPr>
      <w:r>
        <w:t>Présentiel</w:t>
      </w:r>
    </w:p>
    <w:p>
      <w:pPr>
        <w:pStyle w:val="ListBullet"/>
        <w:spacing w:after="40"/>
      </w:pPr>
      <w:r>
        <w:t>Hybride</w:t>
      </w:r>
    </w:p>
    <w:p>
      <w:pPr>
        <w:pStyle w:val="ListBullet"/>
        <w:spacing w:after="40"/>
      </w:pPr>
      <w:r>
        <w:t>En ligne (style webinaire)</w:t>
      </w:r>
    </w:p>
    <w:p>
      <w:pPr>
        <w:pStyle w:val="Heading2"/>
        <w:spacing w:before="120" w:after="60"/>
      </w:pPr>
      <w:r>
        <w:t>Niveaux</w:t>
      </w:r>
    </w:p>
    <w:p>
      <w:pPr>
        <w:pStyle w:val="ListBullet"/>
        <w:spacing w:after="40"/>
      </w:pPr>
      <w:r>
        <w:t>Débutant</w:t>
      </w:r>
    </w:p>
    <w:p>
      <w:pPr>
        <w:pStyle w:val="ListBullet"/>
        <w:spacing w:after="40"/>
      </w:pPr>
      <w:r>
        <w:t>Intermédiaire</w:t>
      </w:r>
    </w:p>
    <w:p>
      <w:pPr>
        <w:pStyle w:val="ListBullet"/>
        <w:spacing w:after="40"/>
      </w:pPr>
      <w:r>
        <w:t>Avancé</w:t>
      </w:r>
    </w:p>
    <w:p>
      <w:pPr>
        <w:pStyle w:val="Heading2"/>
        <w:spacing w:before="120" w:after="60"/>
      </w:pPr>
      <w:r>
        <w:t>Durée</w:t>
      </w:r>
    </w:p>
    <w:p>
      <w:pPr>
        <w:pStyle w:val="ListBullet"/>
        <w:spacing w:after="40"/>
      </w:pPr>
      <w:r>
        <w:t>1 jour : version décideurs et managers</w:t>
      </w:r>
    </w:p>
    <w:p>
      <w:pPr>
        <w:pStyle w:val="ListBullet"/>
        <w:spacing w:after="40"/>
      </w:pPr>
      <w:r>
        <w:t>2 jours : version équipes, managers et mise en pratique</w:t>
      </w:r>
    </w:p>
    <w:p>
      <w:pPr>
        <w:pStyle w:val="Heading2"/>
        <w:spacing w:before="120" w:after="60"/>
      </w:pPr>
      <w:r>
        <w:t>Tarif</w:t>
      </w:r>
    </w:p>
    <w:p>
      <w:pPr>
        <w:pStyle w:val="ListBullet"/>
        <w:spacing w:after="40"/>
      </w:pPr>
      <w:r>
        <w:t>Prix sur demande</w:t>
      </w:r>
    </w:p>
    <w:p>
      <w:pPr>
        <w:pStyle w:val="Heading2"/>
        <w:spacing w:before="120" w:after="60"/>
      </w:pPr>
      <w:r>
        <w:t>Résultats attendus</w:t>
      </w:r>
    </w:p>
    <w:p>
      <w:pPr>
        <w:pStyle w:val="ListBullet"/>
        <w:spacing w:after="40"/>
      </w:pPr>
      <w:r>
        <w:t>25 à 45 % sur le temps de reporting (collecte, commentaire, mise en forme).</w:t>
      </w:r>
    </w:p>
    <w:p>
      <w:pPr>
        <w:pStyle w:val="ListBullet"/>
        <w:spacing w:after="40"/>
      </w:pPr>
      <w:r>
        <w:t>Revue plus rapide des écarts et anomalies (avant comité ou clôture).</w:t>
      </w:r>
    </w:p>
    <w:p>
      <w:pPr>
        <w:pStyle w:val="ListBullet"/>
        <w:spacing w:after="40"/>
      </w:pPr>
      <w:r>
        <w:t>Décisions mieux documentées pour la direction (notes synthétiques et KPI).</w:t>
      </w:r>
    </w:p>
    <w:p>
      <w:pPr>
        <w:pStyle w:val="ListBullet"/>
        <w:spacing w:after="40"/>
      </w:pPr>
      <w:r>
        <w:t>Contrôles plus homogènes sur plusieurs équipes (formats et méthodes alignés).</w:t>
      </w:r>
    </w:p>
    <w:p>
      <w:pPr>
        <w:pStyle w:val="ListBullet"/>
        <w:spacing w:after="40"/>
      </w:pPr>
      <w:r>
        <w:t>Une feuille de route claire sur les deux premiers cas d’usage à lancer dans la finance et la comptabilité.</w:t>
      </w:r>
    </w:p>
    <w:p>
      <w:pPr>
        <w:pStyle w:val="ListBullet"/>
        <w:spacing w:after="40"/>
      </w:pPr>
      <w:r>
        <w:t>Une meilleure capacité à relier formation, gouvernance, pilote et retour sur investissement visible.</w:t>
      </w:r>
    </w:p>
    <w:p>
      <w:pPr>
        <w:pStyle w:val="Heading2"/>
        <w:spacing w:before="120" w:after="60"/>
      </w:pPr>
      <w:r>
        <w:t>Objectifs pédagogiques</w:t>
      </w:r>
    </w:p>
    <w:p>
      <w:pPr>
        <w:pStyle w:val="ListBullet"/>
        <w:spacing w:after="40"/>
      </w:pPr>
      <w:r>
        <w:t>Identifier les priorités métier les plus crédibles à traiter par l’IA dans la finance et la comptabilité.</w:t>
      </w:r>
    </w:p>
    <w:p>
      <w:pPr>
        <w:pStyle w:val="ListBullet"/>
        <w:spacing w:after="40"/>
      </w:pPr>
      <w:r>
        <w:t>Savoir structurer et piloter le cas d’usage « Reporting financier automatisé ».</w:t>
      </w:r>
    </w:p>
    <w:p>
      <w:pPr>
        <w:pStyle w:val="ListBullet"/>
        <w:spacing w:after="40"/>
      </w:pPr>
      <w:r>
        <w:t>Savoir structurer et piloter le cas d’usage « Pré-clôture et détection d’anomalies ».</w:t>
      </w:r>
    </w:p>
    <w:p>
      <w:pPr>
        <w:pStyle w:val="ListBullet"/>
        <w:spacing w:after="40"/>
      </w:pPr>
      <w:r>
        <w:t>Savoir structurer et piloter le cas d’usage « Audit interne augmenté ».</w:t>
      </w:r>
    </w:p>
    <w:p>
      <w:pPr>
        <w:pStyle w:val="ListBullet"/>
        <w:spacing w:after="40"/>
      </w:pPr>
      <w:r>
        <w:t>Distinguer les usages immédiatement activables, les usages à encadrer et les usages à piloter dans le temps.</w:t>
      </w:r>
    </w:p>
    <w:p>
      <w:pPr>
        <w:pStyle w:val="ListBullet"/>
        <w:spacing w:after="40"/>
      </w:pPr>
      <w:r>
        <w:t>Définir des KPI simples, un cadre de confiance et un premier plan d’action à 90 jours.</w:t>
      </w:r>
    </w:p>
    <w:p>
      <w:pPr>
        <w:pStyle w:val="Heading2"/>
        <w:spacing w:before="120" w:after="60"/>
      </w:pPr>
      <w:r>
        <w:t>Programme</w:t>
      </w:r>
    </w:p>
    <w:p>
      <w:pPr>
        <w:pStyle w:val="Heading3"/>
        <w:spacing w:before="120" w:after="60"/>
      </w:pPr>
      <w:r>
        <w:t>Jour 1</w:t>
      </w:r>
    </w:p>
    <w:p>
      <w:pPr>
        <w:pStyle w:val="ListBullet"/>
        <w:spacing w:after="40"/>
      </w:pPr>
      <w:r>
        <w:t>Lecture des enjeux sectoriels : Dans les fonctions finance, l’IA devient utile quand elle réduit les délais de lecture, de consolidation et de préparation des arbitrages sans compromettre la fiabilité.</w:t>
      </w:r>
    </w:p>
    <w:p>
      <w:pPr>
        <w:pStyle w:val="ListBullet"/>
        <w:spacing w:after="40"/>
      </w:pPr>
      <w:r>
        <w:t>Cartographie des priorités métier confirmées : Reporting lourd et répétitif ; Contrôles encore trop artisanaux ; Décision tardive faute de lecture claire.</w:t>
      </w:r>
    </w:p>
    <w:p>
      <w:pPr>
        <w:pStyle w:val="ListBullet"/>
        <w:spacing w:after="40"/>
      </w:pPr>
      <w:r>
        <w:t>Études de cas guidées autour de « Reporting financier automatisé » et « Pré-clôture et détection d’anomalies ».</w:t>
      </w:r>
    </w:p>
    <w:p>
      <w:pPr>
        <w:pStyle w:val="ListBullet"/>
        <w:spacing w:after="40"/>
      </w:pPr>
      <w:r>
        <w:t>Méthodes, outils et gestes professionnels à partir des ancrages pédagogiques suivants : Reporting Financier Automatisé ; Comptabilité Automatisée avec l’IA ; Audit Interne Augmenté par l’IA.</w:t>
      </w:r>
    </w:p>
    <w:p>
      <w:pPr>
        <w:pStyle w:val="ListBullet"/>
        <w:spacing w:after="40"/>
      </w:pPr>
      <w:r>
        <w:t>Cadre de confiance : confidentialité, supervision humaine, validation managériale et critères d’extension.</w:t>
      </w:r>
    </w:p>
    <w:p>
      <w:pPr>
        <w:pStyle w:val="Heading3"/>
        <w:spacing w:before="120" w:after="60"/>
      </w:pPr>
      <w:r>
        <w:t>Jour 2</w:t>
      </w:r>
    </w:p>
    <w:p>
      <w:pPr>
        <w:pStyle w:val="ListBullet"/>
        <w:spacing w:after="40"/>
      </w:pPr>
      <w:r>
        <w:t>Cette journée s’active lorsque la formule 2 jours est retenue.</w:t>
      </w:r>
    </w:p>
    <w:p>
      <w:pPr>
        <w:pStyle w:val="ListBullet"/>
        <w:spacing w:after="40"/>
      </w:pPr>
      <w:r>
        <w:t>Ateliers de conception sur « Audit interne augmenté » et « Prévisions et trésorerie mieux relues ».</w:t>
      </w:r>
    </w:p>
    <w:p>
      <w:pPr>
        <w:pStyle w:val="ListBullet"/>
        <w:spacing w:after="40"/>
      </w:pPr>
      <w:r>
        <w:t>Construction de prompts, trames, routines et scénarios d’usage adaptés au terrain.</w:t>
      </w:r>
    </w:p>
    <w:p>
      <w:pPr>
        <w:pStyle w:val="ListBullet"/>
        <w:spacing w:after="40"/>
      </w:pPr>
      <w:r>
        <w:t>Approfondissements recommandés : Prévisions Budgétaires Assistées par IA ; Gestion de Trésorerie Intelligente ; Normes IFRS et Automatisation avec l’IA.</w:t>
      </w:r>
    </w:p>
    <w:p>
      <w:pPr>
        <w:pStyle w:val="ListBullet"/>
        <w:spacing w:after="40"/>
      </w:pPr>
      <w:r>
        <w:t>Définition du premier pilote, des livrables attendus et des KPI de suivi.</w:t>
      </w:r>
    </w:p>
    <w:p>
      <w:pPr>
        <w:pStyle w:val="ListBullet"/>
        <w:spacing w:after="40"/>
      </w:pPr>
      <w:r>
        <w:t>Plan d’action à 90 jours : séquencement, populations à former, gouvernance et arbitrages de déploiement.</w:t>
      </w:r>
    </w:p>
    <w:p>
      <w:pPr>
        <w:pStyle w:val="Heading2"/>
        <w:spacing w:before="120" w:after="60"/>
      </w:pPr>
      <w:r>
        <w:t>Livrables / attendus</w:t>
      </w:r>
    </w:p>
    <w:p>
      <w:pPr>
        <w:pStyle w:val="ListBullet"/>
        <w:spacing w:after="40"/>
      </w:pPr>
      <w:r>
        <w:t>Une note de cadrage sectorielle pour la finance et la comptabilité avec priorités confirmées, risques et premières décisions.</w:t>
      </w:r>
    </w:p>
    <w:p>
      <w:pPr>
        <w:pStyle w:val="ListBullet"/>
        <w:spacing w:after="40"/>
      </w:pPr>
      <w:r>
        <w:t>Une matrice des cas d’usage prioritaires incluant « Reporting financier automatisé » ; « Pré-clôture et détection d’anomalies » ; « Audit interne augmenté » ; « Prévisions et trésorerie mieux relues ».</w:t>
      </w:r>
    </w:p>
    <w:p>
      <w:pPr>
        <w:pStyle w:val="ListBullet"/>
        <w:spacing w:after="40"/>
      </w:pPr>
      <w:r>
        <w:t>Un canevas de pilote à 90 jours avec KPI, rôles, supervision et critères de succès.</w:t>
      </w:r>
    </w:p>
    <w:p>
      <w:pPr>
        <w:pStyle w:val="ListBullet"/>
        <w:spacing w:after="40"/>
      </w:pPr>
      <w:r>
        <w:t>Une recommandation de parcours de montée en compétences à partir de : Reporting Financier Automatisé ; Comptabilité Automatisée avec l’IA ; Audit Interne Augmenté par l’IA ; Prévisions Budgétaires Assistées par IA.</w:t>
      </w:r>
    </w:p>
    <w:p>
      <w:pPr>
        <w:pStyle w:val="Heading2"/>
        <w:spacing w:before="120" w:after="60"/>
      </w:pPr>
      <w:r>
        <w:t>Ancrages pédagogiques recommandés</w:t>
      </w:r>
    </w:p>
    <w:p>
      <w:pPr>
        <w:pStyle w:val="ListBullet"/>
        <w:spacing w:after="40"/>
      </w:pPr>
      <w:r>
        <w:t>Reporting Financier Automatisé</w:t>
      </w:r>
    </w:p>
    <w:p>
      <w:pPr>
        <w:pStyle w:val="ListBullet"/>
        <w:spacing w:after="40"/>
      </w:pPr>
      <w:r>
        <w:t>Comptabilité Automatisée avec l’IA</w:t>
      </w:r>
    </w:p>
    <w:p>
      <w:pPr>
        <w:pStyle w:val="ListBullet"/>
        <w:spacing w:after="40"/>
      </w:pPr>
      <w:r>
        <w:t>Audit Interne Augmenté par l’IA</w:t>
      </w:r>
    </w:p>
    <w:p>
      <w:pPr>
        <w:pStyle w:val="ListBullet"/>
        <w:spacing w:after="40"/>
      </w:pPr>
      <w:r>
        <w:t>Prévisions Budgétaires Assistées par IA</w:t>
      </w:r>
    </w:p>
    <w:p>
      <w:pPr>
        <w:pStyle w:val="ListBullet"/>
        <w:spacing w:after="40"/>
      </w:pPr>
      <w:r>
        <w:t>Gestion de Trésorerie Intelligente</w:t>
      </w:r>
    </w:p>
    <w:p>
      <w:pPr>
        <w:pStyle w:val="ListBullet"/>
        <w:spacing w:after="40"/>
      </w:pPr>
      <w:r>
        <w:t>Normes IFRS et Automatisation avec l’IA</w:t>
      </w:r>
    </w:p>
    <w:p>
      <w:pPr>
        <w:pStyle w:val="Heading2"/>
        <w:spacing w:before="120" w:after="60"/>
      </w:pPr>
      <w:r>
        <w:t>Mention de personnalisation</w:t>
      </w:r>
    </w:p>
    <w:p>
      <w:pPr>
        <w:pStyle w:val="ListBullet"/>
        <w:spacing w:after="40"/>
      </w:pPr>
      <w:r>
        <w:t>Le contenu final est ajusté après qualification du contexte, des outils déjà utilisés, des données disponibles et des arbitrages de confidentialité propres au prospect.</w:t>
      </w:r>
    </w:p>
    <w:p>
      <w:pPr>
        <w:pStyle w:val="Heading1"/>
        <w:spacing w:before="200" w:after="60"/>
      </w:pPr>
      <w:r>
        <w:t>TransferAI - Mini catalogue premium Juridique &amp; Conformité</w:t>
      </w:r>
    </w:p>
    <w:p>
      <w:pPr>
        <w:spacing w:after="120"/>
      </w:pPr>
      <w:r>
        <w:t>Catalogue ciblé par secteur | Formule prioritaire sur mesure | Édition du 2026-06-12</w:t>
      </w:r>
    </w:p>
    <w:p>
      <w:pPr>
        <w:spacing w:after="120"/>
      </w:pPr>
      <w:r>
        <w:t>Ce document est conçu pour des prospects de même univers métier. Il peut être adapté à une organisation précise après audit IA gratuit et échange expert de qualification.</w:t>
      </w:r>
    </w:p>
    <w:p>
      <w:pPr>
        <w:pStyle w:val="Heading1"/>
        <w:spacing w:before="200" w:after="60"/>
      </w:pPr>
      <w:r>
        <w:t>Fiche sectorielle 05 / 16</w:t>
      </w:r>
    </w:p>
    <w:p>
      <w:pPr>
        <w:pStyle w:val="Heading2"/>
        <w:spacing w:before="120" w:after="60"/>
      </w:pPr>
      <w:r>
        <w:t>Domaine de référence</w:t>
      </w:r>
    </w:p>
    <w:p>
      <w:pPr>
        <w:pStyle w:val="ListBullet"/>
        <w:spacing w:after="40"/>
      </w:pPr>
      <w:r>
        <w:t>Juridique &amp; Conformité | Contextes proches : Banque / Finance ; Assurance ; Inspection / Certification ; Administration publique ; Énergie / Pétrole &amp; Gaz</w:t>
      </w:r>
    </w:p>
    <w:p>
      <w:pPr>
        <w:pStyle w:val="Heading2"/>
        <w:spacing w:before="120" w:after="60"/>
      </w:pPr>
      <w:r>
        <w:t>Enjeux sectoriels</w:t>
      </w:r>
    </w:p>
    <w:p>
      <w:pPr>
        <w:pStyle w:val="ListBullet"/>
        <w:spacing w:after="40"/>
      </w:pPr>
      <w:r>
        <w:t>Dans ce domaine, la bonne promesse n’est pas l’automatisation aveugle du jugement juridique. La vraie valeur est dans la préparation, la revue, la veille et la traçabilité.</w:t>
      </w:r>
    </w:p>
    <w:p>
      <w:pPr>
        <w:pStyle w:val="ListBullet"/>
        <w:spacing w:after="40"/>
      </w:pPr>
      <w:r>
        <w:t>Recherche et veille trop lentes : Les équipes passent du temps à consolider jurisprudence, textes, clauses et repères sectoriels. La recherche préparatoire devient plus rapide, plus structurée et plus facile à partager avant revue experte.</w:t>
      </w:r>
    </w:p>
    <w:p>
      <w:pPr>
        <w:pStyle w:val="ListBullet"/>
        <w:spacing w:after="40"/>
      </w:pPr>
      <w:r>
        <w:t>Analyse contractuelle répétitive : La revue de contrats ou pièces comparables mobilise des efforts importants sur des points récurrents. Les premières synthèses et repérages d’écarts accélèrent le travail des juristes et compliance officers.</w:t>
      </w:r>
    </w:p>
    <w:p>
      <w:pPr>
        <w:pStyle w:val="ListBullet"/>
        <w:spacing w:after="40"/>
      </w:pPr>
      <w:r>
        <w:t>Conformité documentaire diffuse : Les équipes peinent à maintenir des réponses homogènes sur données, KYC, AML ou procédures. Des bases de référence et routines de contrôle rendent le cadre plus lisible et plus stable.</w:t>
      </w:r>
    </w:p>
    <w:p>
      <w:pPr>
        <w:pStyle w:val="ListBullet"/>
        <w:spacing w:after="40"/>
      </w:pPr>
      <w:r>
        <w:t>Pression sur les délais de préparation : Comités, dossiers, contentieux et due diligence demandent des synthèses rapides mais exigeantes. L’IA prépare une première matière mieux structurée, relue ensuite par les responsables compétents.</w:t>
      </w:r>
    </w:p>
    <w:p>
      <w:pPr>
        <w:pStyle w:val="Heading2"/>
        <w:spacing w:before="120" w:after="60"/>
      </w:pPr>
      <w:r>
        <w:t>Contexte secteur à confirmer</w:t>
      </w:r>
    </w:p>
    <w:p>
      <w:pPr>
        <w:pStyle w:val="ListBullet"/>
        <w:spacing w:after="40"/>
      </w:pPr>
      <w:r>
        <w:t>Exemples de contextes proches : Banque / Finance ; Assurance ; Inspection / Certification ; Administration publique ; Énergie / Pétrole &amp; Gaz.</w:t>
      </w:r>
    </w:p>
    <w:p>
      <w:pPr>
        <w:pStyle w:val="ListBullet"/>
        <w:spacing w:after="40"/>
      </w:pPr>
      <w:r>
        <w:t>Les enjeux confirmés au cadrage doivent être reliés à des priorités visibles pour le juridique et la conformité.</w:t>
      </w:r>
    </w:p>
    <w:p>
      <w:pPr>
        <w:pStyle w:val="ListBullet"/>
        <w:spacing w:after="40"/>
      </w:pPr>
      <w:r>
        <w:t>Le périmètre à confirmer peut concerner un site pilote, une direction donnée, une équipe support ou un processus transverse.</w:t>
      </w:r>
    </w:p>
    <w:p>
      <w:pPr>
        <w:pStyle w:val="ListBullet"/>
        <w:spacing w:after="40"/>
      </w:pPr>
      <w:r>
        <w:t>Les cas d’usage retenus doivent être validés selon les données disponibles, les règles de confidentialité et la capacité de supervision humaine.</w:t>
      </w:r>
    </w:p>
    <w:p>
      <w:pPr>
        <w:pStyle w:val="Heading2"/>
        <w:spacing w:before="120" w:after="60"/>
      </w:pPr>
      <w:r>
        <w:t>Cas d’usage TransferAI mis en avant</w:t>
      </w:r>
    </w:p>
    <w:p>
      <w:pPr>
        <w:pStyle w:val="ListBullet"/>
        <w:spacing w:after="40"/>
      </w:pPr>
      <w:r>
        <w:rPr>
          <w:b/>
        </w:rPr>
        <w:t>Recherche juridique assistée</w:t>
      </w:r>
      <w:r>
        <w:t xml:space="preserve"> : Les juristes reçoivent une base de lecture plus structurée pour accélérer la phase de préparation. KPI de référence : Temps de préparation d’une note ; délai de réponse interne.</w:t>
      </w:r>
    </w:p>
    <w:p>
      <w:pPr>
        <w:pStyle w:val="ListBullet"/>
        <w:spacing w:after="40"/>
      </w:pPr>
      <w:r>
        <w:rPr>
          <w:b/>
        </w:rPr>
        <w:t>Analyse de contrats et écarts</w:t>
      </w:r>
      <w:r>
        <w:t xml:space="preserve"> : Les clauses sensibles, incohérences et points de vigilance ressortent plus vite avant arbitrage humain. KPI de référence : Temps de revue ; nombre d’écarts repérés tôt.</w:t>
      </w:r>
    </w:p>
    <w:p>
      <w:pPr>
        <w:pStyle w:val="ListBullet"/>
        <w:spacing w:after="40"/>
      </w:pPr>
      <w:r>
        <w:rPr>
          <w:b/>
        </w:rPr>
        <w:t>Conformité en matière de données et de procédures</w:t>
      </w:r>
      <w:r>
        <w:t xml:space="preserve"> : Une base de référence et des checklists outillent mieux les équipes au quotidien. KPI de référence : Temps de réponse ; homogénéité des avis et procédures.</w:t>
      </w:r>
    </w:p>
    <w:p>
      <w:pPr>
        <w:pStyle w:val="ListBullet"/>
        <w:spacing w:after="40"/>
      </w:pPr>
      <w:r>
        <w:rPr>
          <w:b/>
        </w:rPr>
        <w:t>Due diligence et comités</w:t>
      </w:r>
      <w:r>
        <w:t xml:space="preserve"> : Les dossiers deviennent plus lisibles, plus rapides à assembler et plus simples à challenger. KPI de référence : Temps de préparation dossier ; délai avant comité.</w:t>
      </w:r>
    </w:p>
    <w:p>
      <w:pPr>
        <w:pStyle w:val="Heading1"/>
        <w:spacing w:before="200" w:after="60"/>
      </w:pPr>
      <w:r>
        <w:t>Formule prioritaire recommandée</w:t>
      </w:r>
    </w:p>
    <w:p>
      <w:pPr>
        <w:pStyle w:val="Heading2"/>
        <w:spacing w:before="120" w:after="60"/>
      </w:pPr>
      <w:r>
        <w:t>Intitulé</w:t>
      </w:r>
    </w:p>
    <w:p>
      <w:pPr>
        <w:pStyle w:val="ListBullet"/>
        <w:spacing w:after="40"/>
      </w:pPr>
      <w:r>
        <w:t>Bootcamp IA sectoriel Juridique &amp; Conformité : de l’acculturation utile au premier pilote mesurable</w:t>
      </w:r>
    </w:p>
    <w:p>
      <w:pPr>
        <w:pStyle w:val="Heading2"/>
        <w:spacing w:before="120" w:after="60"/>
      </w:pPr>
      <w:r>
        <w:t>Public cible</w:t>
      </w:r>
    </w:p>
    <w:p>
      <w:pPr>
        <w:pStyle w:val="ListBullet"/>
        <w:spacing w:after="40"/>
      </w:pPr>
      <w:r>
        <w:t>Directions juridiques, conformité, secrétariat général, audit, risques</w:t>
      </w:r>
    </w:p>
    <w:p>
      <w:pPr>
        <w:pStyle w:val="Heading2"/>
        <w:spacing w:before="120" w:after="60"/>
      </w:pPr>
      <w:r>
        <w:t>Formats possibles</w:t>
      </w:r>
    </w:p>
    <w:p>
      <w:pPr>
        <w:pStyle w:val="ListBullet"/>
        <w:spacing w:after="40"/>
      </w:pPr>
      <w:r>
        <w:t>Présentiel</w:t>
      </w:r>
    </w:p>
    <w:p>
      <w:pPr>
        <w:pStyle w:val="ListBullet"/>
        <w:spacing w:after="40"/>
      </w:pPr>
      <w:r>
        <w:t>Hybride</w:t>
      </w:r>
    </w:p>
    <w:p>
      <w:pPr>
        <w:pStyle w:val="ListBullet"/>
        <w:spacing w:after="40"/>
      </w:pPr>
      <w:r>
        <w:t>En ligne (style webinaire)</w:t>
      </w:r>
    </w:p>
    <w:p>
      <w:pPr>
        <w:pStyle w:val="Heading2"/>
        <w:spacing w:before="120" w:after="60"/>
      </w:pPr>
      <w:r>
        <w:t>Niveaux</w:t>
      </w:r>
    </w:p>
    <w:p>
      <w:pPr>
        <w:pStyle w:val="ListBullet"/>
        <w:spacing w:after="40"/>
      </w:pPr>
      <w:r>
        <w:t>Débutant</w:t>
      </w:r>
    </w:p>
    <w:p>
      <w:pPr>
        <w:pStyle w:val="ListBullet"/>
        <w:spacing w:after="40"/>
      </w:pPr>
      <w:r>
        <w:t>Intermédiaire</w:t>
      </w:r>
    </w:p>
    <w:p>
      <w:pPr>
        <w:pStyle w:val="ListBullet"/>
        <w:spacing w:after="40"/>
      </w:pPr>
      <w:r>
        <w:t>Avancé</w:t>
      </w:r>
    </w:p>
    <w:p>
      <w:pPr>
        <w:pStyle w:val="Heading2"/>
        <w:spacing w:before="120" w:after="60"/>
      </w:pPr>
      <w:r>
        <w:t>Durée</w:t>
      </w:r>
    </w:p>
    <w:p>
      <w:pPr>
        <w:pStyle w:val="ListBullet"/>
        <w:spacing w:after="40"/>
      </w:pPr>
      <w:r>
        <w:t>1 jour : version décideurs et managers</w:t>
      </w:r>
    </w:p>
    <w:p>
      <w:pPr>
        <w:pStyle w:val="ListBullet"/>
        <w:spacing w:after="40"/>
      </w:pPr>
      <w:r>
        <w:t>2 jours : version équipes, managers et mise en pratique</w:t>
      </w:r>
    </w:p>
    <w:p>
      <w:pPr>
        <w:pStyle w:val="Heading2"/>
        <w:spacing w:before="120" w:after="60"/>
      </w:pPr>
      <w:r>
        <w:t>Tarif</w:t>
      </w:r>
    </w:p>
    <w:p>
      <w:pPr>
        <w:pStyle w:val="ListBullet"/>
        <w:spacing w:after="40"/>
      </w:pPr>
      <w:r>
        <w:t>Prix sur demande</w:t>
      </w:r>
    </w:p>
    <w:p>
      <w:pPr>
        <w:pStyle w:val="Heading2"/>
        <w:spacing w:before="120" w:after="60"/>
      </w:pPr>
      <w:r>
        <w:t>Résultats attendus</w:t>
      </w:r>
    </w:p>
    <w:p>
      <w:pPr>
        <w:pStyle w:val="ListBullet"/>
        <w:spacing w:after="40"/>
      </w:pPr>
      <w:r>
        <w:t>30 à 50 % sur la préparation documentaire (veille, revue, synthèse).</w:t>
      </w:r>
    </w:p>
    <w:p>
      <w:pPr>
        <w:pStyle w:val="ListBullet"/>
        <w:spacing w:after="40"/>
      </w:pPr>
      <w:r>
        <w:t>Revue plus homogène des contrats et pièces (checklists et écarts).</w:t>
      </w:r>
    </w:p>
    <w:p>
      <w:pPr>
        <w:pStyle w:val="ListBullet"/>
        <w:spacing w:after="40"/>
      </w:pPr>
      <w:r>
        <w:t>Réactivité accrue sur conformité et comité (notes plus rapides à préparer).</w:t>
      </w:r>
    </w:p>
    <w:p>
      <w:pPr>
        <w:pStyle w:val="ListBullet"/>
        <w:spacing w:after="40"/>
      </w:pPr>
      <w:r>
        <w:t>Moins de dispersion sur les standards (données, AML, clauses, procédures).</w:t>
      </w:r>
    </w:p>
    <w:p>
      <w:pPr>
        <w:pStyle w:val="ListBullet"/>
        <w:spacing w:after="40"/>
      </w:pPr>
      <w:r>
        <w:t>Une feuille de route claire sur les deux premiers cas d’usage à lancer dans le juridique et la conformité.</w:t>
      </w:r>
    </w:p>
    <w:p>
      <w:pPr>
        <w:pStyle w:val="ListBullet"/>
        <w:spacing w:after="40"/>
      </w:pPr>
      <w:r>
        <w:t>Une meilleure capacité à relier formation, gouvernance, pilote et retour sur investissement visible.</w:t>
      </w:r>
    </w:p>
    <w:p>
      <w:pPr>
        <w:pStyle w:val="Heading2"/>
        <w:spacing w:before="120" w:after="60"/>
      </w:pPr>
      <w:r>
        <w:t>Objectifs pédagogiques</w:t>
      </w:r>
    </w:p>
    <w:p>
      <w:pPr>
        <w:pStyle w:val="ListBullet"/>
        <w:spacing w:after="40"/>
      </w:pPr>
      <w:r>
        <w:t>Identifier les priorités métier les plus crédibles à traiter par l’IA dans le juridique et la conformité.</w:t>
      </w:r>
    </w:p>
    <w:p>
      <w:pPr>
        <w:pStyle w:val="ListBullet"/>
        <w:spacing w:after="40"/>
      </w:pPr>
      <w:r>
        <w:t>Savoir structurer et piloter le cas d’usage « Recherche juridique assistée ».</w:t>
      </w:r>
    </w:p>
    <w:p>
      <w:pPr>
        <w:pStyle w:val="ListBullet"/>
        <w:spacing w:after="40"/>
      </w:pPr>
      <w:r>
        <w:t>Savoir structurer et piloter le cas d’usage « Analyse de contrats et écarts ».</w:t>
      </w:r>
    </w:p>
    <w:p>
      <w:pPr>
        <w:pStyle w:val="ListBullet"/>
        <w:spacing w:after="40"/>
      </w:pPr>
      <w:r>
        <w:t>Savoir structurer et piloter le cas d’usage « Conformité en matière de données et de procédures ».</w:t>
      </w:r>
    </w:p>
    <w:p>
      <w:pPr>
        <w:pStyle w:val="ListBullet"/>
        <w:spacing w:after="40"/>
      </w:pPr>
      <w:r>
        <w:t>Distinguer les usages immédiatement activables, les usages à encadrer et les usages à piloter dans le temps.</w:t>
      </w:r>
    </w:p>
    <w:p>
      <w:pPr>
        <w:pStyle w:val="ListBullet"/>
        <w:spacing w:after="40"/>
      </w:pPr>
      <w:r>
        <w:t>Définir des KPI simples, un cadre de confiance et un premier plan d’action à 90 jours.</w:t>
      </w:r>
    </w:p>
    <w:p>
      <w:pPr>
        <w:pStyle w:val="Heading2"/>
        <w:spacing w:before="120" w:after="60"/>
      </w:pPr>
      <w:r>
        <w:t>Programme</w:t>
      </w:r>
    </w:p>
    <w:p>
      <w:pPr>
        <w:pStyle w:val="Heading3"/>
        <w:spacing w:before="120" w:after="60"/>
      </w:pPr>
      <w:r>
        <w:t>Jour 1</w:t>
      </w:r>
    </w:p>
    <w:p>
      <w:pPr>
        <w:pStyle w:val="ListBullet"/>
        <w:spacing w:after="40"/>
      </w:pPr>
      <w:r>
        <w:t>Lecture des enjeux sectoriels : Dans ce domaine, la bonne promesse n’est pas l’automatisation aveugle du jugement juridique. La vraie valeur est dans la préparation, la revue, la veille et la traçabilité.</w:t>
      </w:r>
    </w:p>
    <w:p>
      <w:pPr>
        <w:pStyle w:val="ListBullet"/>
        <w:spacing w:after="40"/>
      </w:pPr>
      <w:r>
        <w:t>Cartographie des priorités métier confirmées : Recherche et veille trop lentes ; Analyse contractuelle répétitive ; Conformité documentaire diffuse.</w:t>
      </w:r>
    </w:p>
    <w:p>
      <w:pPr>
        <w:pStyle w:val="ListBullet"/>
        <w:spacing w:after="40"/>
      </w:pPr>
      <w:r>
        <w:t>Études de cas guidées autour de « Recherche juridique assistée » et « Analyse de contrats et écarts ».</w:t>
      </w:r>
    </w:p>
    <w:p>
      <w:pPr>
        <w:pStyle w:val="ListBullet"/>
        <w:spacing w:after="40"/>
      </w:pPr>
      <w:r>
        <w:t>Méthodes, outils et gestes professionnels à partir des ancrages pédagogiques suivants : Recherche Juridique Assistée par IA ; Analyse de Contrats avec l’IA ; Rédaction Juridique Assistée par l’IA.</w:t>
      </w:r>
    </w:p>
    <w:p>
      <w:pPr>
        <w:pStyle w:val="ListBullet"/>
        <w:spacing w:after="40"/>
      </w:pPr>
      <w:r>
        <w:t>Cadre de confiance : confidentialité, supervision humaine, validation managériale et critères d’extension.</w:t>
      </w:r>
    </w:p>
    <w:p>
      <w:pPr>
        <w:pStyle w:val="Heading3"/>
        <w:spacing w:before="120" w:after="60"/>
      </w:pPr>
      <w:r>
        <w:t>Jour 2</w:t>
      </w:r>
    </w:p>
    <w:p>
      <w:pPr>
        <w:pStyle w:val="ListBullet"/>
        <w:spacing w:after="40"/>
      </w:pPr>
      <w:r>
        <w:t>Cette journée s’active lorsque la formule 2 jours est retenue.</w:t>
      </w:r>
    </w:p>
    <w:p>
      <w:pPr>
        <w:pStyle w:val="ListBullet"/>
        <w:spacing w:after="40"/>
      </w:pPr>
      <w:r>
        <w:t>Ateliers de conception sur « Conformité en matière de données et de procédures » et « Due diligence et comités ».</w:t>
      </w:r>
    </w:p>
    <w:p>
      <w:pPr>
        <w:pStyle w:val="ListBullet"/>
        <w:spacing w:after="40"/>
      </w:pPr>
      <w:r>
        <w:t>Construction de prompts, trames, routines et scénarios d’usage adaptés au terrain.</w:t>
      </w:r>
    </w:p>
    <w:p>
      <w:pPr>
        <w:pStyle w:val="ListBullet"/>
        <w:spacing w:after="40"/>
      </w:pPr>
      <w:r>
        <w:t>Approfondissements recommandés : RGPD et Protection des Données avec l’IA ; Conformité Anti-Blanchiment et IA ; Due Diligence Augmentée par l’IA.</w:t>
      </w:r>
    </w:p>
    <w:p>
      <w:pPr>
        <w:pStyle w:val="ListBullet"/>
        <w:spacing w:after="40"/>
      </w:pPr>
      <w:r>
        <w:t>Définition du premier pilote, des livrables attendus et des KPI de suivi.</w:t>
      </w:r>
    </w:p>
    <w:p>
      <w:pPr>
        <w:pStyle w:val="ListBullet"/>
        <w:spacing w:after="40"/>
      </w:pPr>
      <w:r>
        <w:t>Plan d’action à 90 jours : séquencement, populations à former, gouvernance et arbitrages de déploiement.</w:t>
      </w:r>
    </w:p>
    <w:p>
      <w:pPr>
        <w:pStyle w:val="Heading2"/>
        <w:spacing w:before="120" w:after="60"/>
      </w:pPr>
      <w:r>
        <w:t>Livrables / attendus</w:t>
      </w:r>
    </w:p>
    <w:p>
      <w:pPr>
        <w:pStyle w:val="ListBullet"/>
        <w:spacing w:after="40"/>
      </w:pPr>
      <w:r>
        <w:t>Une note de cadrage sectorielle pour le juridique et la conformité avec priorités confirmées, risques et premières décisions.</w:t>
      </w:r>
    </w:p>
    <w:p>
      <w:pPr>
        <w:pStyle w:val="ListBullet"/>
        <w:spacing w:after="40"/>
      </w:pPr>
      <w:r>
        <w:t>Une matrice des cas d’usage prioritaires incluant « Recherche juridique assistée » ; « Analyse de contrats et écarts » ; « Conformité en matière de données et de procédures » ; « Due diligence et comités ».</w:t>
      </w:r>
    </w:p>
    <w:p>
      <w:pPr>
        <w:pStyle w:val="ListBullet"/>
        <w:spacing w:after="40"/>
      </w:pPr>
      <w:r>
        <w:t>Un canevas de pilote à 90 jours avec KPI, rôles, supervision et critères de succès.</w:t>
      </w:r>
    </w:p>
    <w:p>
      <w:pPr>
        <w:pStyle w:val="ListBullet"/>
        <w:spacing w:after="40"/>
      </w:pPr>
      <w:r>
        <w:t>Une recommandation de parcours de montée en compétences à partir de : Recherche Juridique Assistée par IA ; Analyse de Contrats avec l’IA ; Rédaction Juridique Assistée par l’IA ; RGPD et Protection des Données avec l’IA.</w:t>
      </w:r>
    </w:p>
    <w:p>
      <w:pPr>
        <w:pStyle w:val="Heading2"/>
        <w:spacing w:before="120" w:after="60"/>
      </w:pPr>
      <w:r>
        <w:t>Ancrages pédagogiques recommandés</w:t>
      </w:r>
    </w:p>
    <w:p>
      <w:pPr>
        <w:pStyle w:val="ListBullet"/>
        <w:spacing w:after="40"/>
      </w:pPr>
      <w:r>
        <w:t>Recherche Juridique Assistée par IA</w:t>
      </w:r>
    </w:p>
    <w:p>
      <w:pPr>
        <w:pStyle w:val="ListBullet"/>
        <w:spacing w:after="40"/>
      </w:pPr>
      <w:r>
        <w:t>Analyse de Contrats avec l’IA</w:t>
      </w:r>
    </w:p>
    <w:p>
      <w:pPr>
        <w:pStyle w:val="ListBullet"/>
        <w:spacing w:after="40"/>
      </w:pPr>
      <w:r>
        <w:t>Rédaction Juridique Assistée par l’IA</w:t>
      </w:r>
    </w:p>
    <w:p>
      <w:pPr>
        <w:pStyle w:val="ListBullet"/>
        <w:spacing w:after="40"/>
      </w:pPr>
      <w:r>
        <w:t>RGPD et Protection des Données avec l’IA</w:t>
      </w:r>
    </w:p>
    <w:p>
      <w:pPr>
        <w:pStyle w:val="ListBullet"/>
        <w:spacing w:after="40"/>
      </w:pPr>
      <w:r>
        <w:t>Conformité Anti-Blanchiment et IA</w:t>
      </w:r>
    </w:p>
    <w:p>
      <w:pPr>
        <w:pStyle w:val="ListBullet"/>
        <w:spacing w:after="40"/>
      </w:pPr>
      <w:r>
        <w:t>Due Diligence Augmentée par l’IA</w:t>
      </w:r>
    </w:p>
    <w:p>
      <w:pPr>
        <w:pStyle w:val="Heading2"/>
        <w:spacing w:before="120" w:after="60"/>
      </w:pPr>
      <w:r>
        <w:t>Mention de personnalisation</w:t>
      </w:r>
    </w:p>
    <w:p>
      <w:pPr>
        <w:pStyle w:val="ListBullet"/>
        <w:spacing w:after="40"/>
      </w:pPr>
      <w:r>
        <w:t>Le contenu final est ajusté après qualification du contexte, des outils déjà utilisés, des données disponibles et des arbitrages de confidentialité propres au prospect.</w:t>
      </w:r>
    </w:p>
    <w:p>
      <w:pPr>
        <w:pStyle w:val="Heading1"/>
        <w:spacing w:before="200" w:after="60"/>
      </w:pPr>
      <w:r>
        <w:t>TransferAI - Mini catalogue premium Service Client</w:t>
      </w:r>
    </w:p>
    <w:p>
      <w:pPr>
        <w:spacing w:after="120"/>
      </w:pPr>
      <w:r>
        <w:t>Catalogue ciblé par secteur | Formule prioritaire sur mesure | Édition du 2026-06-12</w:t>
      </w:r>
    </w:p>
    <w:p>
      <w:pPr>
        <w:spacing w:after="120"/>
      </w:pPr>
      <w:r>
        <w:t>Ce document est conçu pour des prospects de même univers métier. Il peut être adapté à une organisation précise après audit IA gratuit et échange expert de qualification.</w:t>
      </w:r>
    </w:p>
    <w:p>
      <w:pPr>
        <w:pStyle w:val="Heading1"/>
        <w:spacing w:before="200" w:after="60"/>
      </w:pPr>
      <w:r>
        <w:t>Fiche sectorielle 06 / 16</w:t>
      </w:r>
    </w:p>
    <w:p>
      <w:pPr>
        <w:pStyle w:val="Heading2"/>
        <w:spacing w:before="120" w:after="60"/>
      </w:pPr>
      <w:r>
        <w:t>Domaine de référence</w:t>
      </w:r>
    </w:p>
    <w:p>
      <w:pPr>
        <w:pStyle w:val="ListBullet"/>
        <w:spacing w:after="40"/>
      </w:pPr>
      <w:r>
        <w:t>Service Client | Contextes proches : Télécommunications ; Hôtellerie / Tourisme ; Logistique / Express ; Fintech / Mobile Money ; Santé / Clinique</w:t>
      </w:r>
    </w:p>
    <w:p>
      <w:pPr>
        <w:pStyle w:val="Heading2"/>
        <w:spacing w:before="120" w:after="60"/>
      </w:pPr>
      <w:r>
        <w:t>Enjeux sectoriels</w:t>
      </w:r>
    </w:p>
    <w:p>
      <w:pPr>
        <w:pStyle w:val="ListBullet"/>
        <w:spacing w:after="40"/>
      </w:pPr>
      <w:r>
        <w:t>Ici, l’IA doit d’abord rendre le service plus stable, plus rapide et mieux piloté. Le ROI se lit dans les temps de réponse, la résolution et la qualité de traitement.</w:t>
      </w:r>
    </w:p>
    <w:p>
      <w:pPr>
        <w:pStyle w:val="ListBullet"/>
        <w:spacing w:after="40"/>
      </w:pPr>
      <w:r>
        <w:t>Réponses hétérogènes : Les réponses varient selon les canaux, les personnes ou le niveau de pression opérationnelle. Des scripts, bases de réponse et assistants encadrés améliorent la cohérence sans rigidifier le service.</w:t>
      </w:r>
    </w:p>
    <w:p>
      <w:pPr>
        <w:pStyle w:val="ListBullet"/>
        <w:spacing w:after="40"/>
      </w:pPr>
      <w:r>
        <w:t>Traitement lent des demandes récurrentes : Les équipes passent trop de temps sur des requêtes simples mais nombreuses. Le premier niveau de réponse et de qualification s’accélère, ce qui libère du temps pour les cas sensibles.</w:t>
      </w:r>
    </w:p>
    <w:p>
      <w:pPr>
        <w:pStyle w:val="ListBullet"/>
        <w:spacing w:after="40"/>
      </w:pPr>
      <w:r>
        <w:t>Feedback client peu exploité : Les réclamations, verbatims et signaux faibles restent sous-analysés ou tardivement consolidés. Les retours clients deviennent plus exploitables pour corriger les parcours et les scripts.</w:t>
      </w:r>
    </w:p>
    <w:p>
      <w:pPr>
        <w:pStyle w:val="ListBullet"/>
        <w:spacing w:after="40"/>
      </w:pPr>
      <w:r>
        <w:t>Pilotage difficile : Les indicateurs existent mais les managers manquent de lecture rapide et actionnable. Les KPI de service sont mieux commentés et reliés à des actions concrètes d’amélioration.</w:t>
      </w:r>
    </w:p>
    <w:p>
      <w:pPr>
        <w:pStyle w:val="Heading2"/>
        <w:spacing w:before="120" w:after="60"/>
      </w:pPr>
      <w:r>
        <w:t>Contexte secteur à confirmer</w:t>
      </w:r>
    </w:p>
    <w:p>
      <w:pPr>
        <w:pStyle w:val="ListBullet"/>
        <w:spacing w:after="40"/>
      </w:pPr>
      <w:r>
        <w:t>Exemples de contextes proches : structures à forte volumétrie de demandes ; réseaux multi-sites ; environnements de support et de relation client.</w:t>
      </w:r>
    </w:p>
    <w:p>
      <w:pPr>
        <w:pStyle w:val="ListBullet"/>
        <w:spacing w:after="40"/>
      </w:pPr>
      <w:r>
        <w:t>Les enjeux confirmés au cadrage doivent être reliés à des priorités visibles pour le service client.</w:t>
      </w:r>
    </w:p>
    <w:p>
      <w:pPr>
        <w:pStyle w:val="ListBullet"/>
        <w:spacing w:after="40"/>
      </w:pPr>
      <w:r>
        <w:t>Le périmètre à confirmer peut concerner un site pilote, une direction donnée, une équipe support ou un processus transverse.</w:t>
      </w:r>
    </w:p>
    <w:p>
      <w:pPr>
        <w:pStyle w:val="ListBullet"/>
        <w:spacing w:after="40"/>
      </w:pPr>
      <w:r>
        <w:t>Les cas d’usage retenus doivent être validés selon les données disponibles, les règles de confidentialité et la capacité de supervision humaine.</w:t>
      </w:r>
    </w:p>
    <w:p>
      <w:pPr>
        <w:pStyle w:val="Heading2"/>
        <w:spacing w:before="120" w:after="60"/>
      </w:pPr>
      <w:r>
        <w:t>Cas d’usage TransferAI mis en avant</w:t>
      </w:r>
    </w:p>
    <w:p>
      <w:pPr>
        <w:pStyle w:val="ListBullet"/>
        <w:spacing w:after="40"/>
      </w:pPr>
      <w:r>
        <w:rPr>
          <w:b/>
        </w:rPr>
        <w:t>Assistant de réponse et FAQ métier</w:t>
      </w:r>
      <w:r>
        <w:t xml:space="preserve"> : Une assistance encadrée facilite la réponse, la reformulation et le rappel des bonnes consignes. KPI de référence : Temps moyen de réponse ; taux de validation premier jet.</w:t>
      </w:r>
    </w:p>
    <w:p>
      <w:pPr>
        <w:pStyle w:val="ListBullet"/>
        <w:spacing w:after="40"/>
      </w:pPr>
      <w:r>
        <w:rPr>
          <w:b/>
        </w:rPr>
        <w:t>Qualification et tri des demandes</w:t>
      </w:r>
      <w:r>
        <w:t xml:space="preserve"> : Les demandes sont mieux triées, résumées et routées avant traitement complet. KPI de référence : Temps de qualification ; délai d’escalade.</w:t>
      </w:r>
    </w:p>
    <w:p>
      <w:pPr>
        <w:pStyle w:val="ListBullet"/>
        <w:spacing w:after="40"/>
      </w:pPr>
      <w:r>
        <w:rPr>
          <w:b/>
        </w:rPr>
        <w:t>Analyse des réclamations et verbatims</w:t>
      </w:r>
      <w:r>
        <w:t xml:space="preserve"> : Les motifs, irritants et signaux faibles sont mieux regroupés et commentés pour les managers. KPI de référence : Temps d’analyse ; volume de motifs consolidés.</w:t>
      </w:r>
    </w:p>
    <w:p>
      <w:pPr>
        <w:pStyle w:val="ListBullet"/>
        <w:spacing w:after="40"/>
      </w:pPr>
      <w:r>
        <w:rPr>
          <w:b/>
        </w:rPr>
        <w:t>Pilotage omnicanal et satisfaction</w:t>
      </w:r>
      <w:r>
        <w:t xml:space="preserve"> : Le pilotage gagne en lisibilité avec des commentaires automatiques et des plans d’action plus nets. KPI de référence : CSAT / NPS ; réactivité de pilotage.</w:t>
      </w:r>
    </w:p>
    <w:p>
      <w:pPr>
        <w:pStyle w:val="Heading1"/>
        <w:spacing w:before="200" w:after="60"/>
      </w:pPr>
      <w:r>
        <w:t>Formule prioritaire recommandée</w:t>
      </w:r>
    </w:p>
    <w:p>
      <w:pPr>
        <w:pStyle w:val="Heading2"/>
        <w:spacing w:before="120" w:after="60"/>
      </w:pPr>
      <w:r>
        <w:t>Intitulé</w:t>
      </w:r>
    </w:p>
    <w:p>
      <w:pPr>
        <w:pStyle w:val="ListBullet"/>
        <w:spacing w:after="40"/>
      </w:pPr>
      <w:r>
        <w:t>Bootcamp IA sectoriel Service Client : de l’acculturation utile au premier pilote mesurable</w:t>
      </w:r>
    </w:p>
    <w:p>
      <w:pPr>
        <w:pStyle w:val="Heading2"/>
        <w:spacing w:before="120" w:after="60"/>
      </w:pPr>
      <w:r>
        <w:t>Public cible</w:t>
      </w:r>
    </w:p>
    <w:p>
      <w:pPr>
        <w:pStyle w:val="ListBullet"/>
        <w:spacing w:after="40"/>
      </w:pPr>
      <w:r>
        <w:t>Directions relation client, centres de contact, support, qualité de service, supervision</w:t>
      </w:r>
    </w:p>
    <w:p>
      <w:pPr>
        <w:pStyle w:val="Heading2"/>
        <w:spacing w:before="120" w:after="60"/>
      </w:pPr>
      <w:r>
        <w:t>Formats possibles</w:t>
      </w:r>
    </w:p>
    <w:p>
      <w:pPr>
        <w:pStyle w:val="ListBullet"/>
        <w:spacing w:after="40"/>
      </w:pPr>
      <w:r>
        <w:t>Présentiel</w:t>
      </w:r>
    </w:p>
    <w:p>
      <w:pPr>
        <w:pStyle w:val="ListBullet"/>
        <w:spacing w:after="40"/>
      </w:pPr>
      <w:r>
        <w:t>Hybride</w:t>
      </w:r>
    </w:p>
    <w:p>
      <w:pPr>
        <w:pStyle w:val="ListBullet"/>
        <w:spacing w:after="40"/>
      </w:pPr>
      <w:r>
        <w:t>En ligne (style webinaire)</w:t>
      </w:r>
    </w:p>
    <w:p>
      <w:pPr>
        <w:pStyle w:val="Heading2"/>
        <w:spacing w:before="120" w:after="60"/>
      </w:pPr>
      <w:r>
        <w:t>Niveaux</w:t>
      </w:r>
    </w:p>
    <w:p>
      <w:pPr>
        <w:pStyle w:val="ListBullet"/>
        <w:spacing w:after="40"/>
      </w:pPr>
      <w:r>
        <w:t>Débutant</w:t>
      </w:r>
    </w:p>
    <w:p>
      <w:pPr>
        <w:pStyle w:val="ListBullet"/>
        <w:spacing w:after="40"/>
      </w:pPr>
      <w:r>
        <w:t>Intermédiaire</w:t>
      </w:r>
    </w:p>
    <w:p>
      <w:pPr>
        <w:pStyle w:val="ListBullet"/>
        <w:spacing w:after="40"/>
      </w:pPr>
      <w:r>
        <w:t>Avancé</w:t>
      </w:r>
    </w:p>
    <w:p>
      <w:pPr>
        <w:pStyle w:val="Heading2"/>
        <w:spacing w:before="120" w:after="60"/>
      </w:pPr>
      <w:r>
        <w:t>Durée</w:t>
      </w:r>
    </w:p>
    <w:p>
      <w:pPr>
        <w:pStyle w:val="ListBullet"/>
        <w:spacing w:after="40"/>
      </w:pPr>
      <w:r>
        <w:t>1 jour : version décideurs et managers</w:t>
      </w:r>
    </w:p>
    <w:p>
      <w:pPr>
        <w:pStyle w:val="ListBullet"/>
        <w:spacing w:after="40"/>
      </w:pPr>
      <w:r>
        <w:t>2 jours : version équipes, managers et mise en pratique</w:t>
      </w:r>
    </w:p>
    <w:p>
      <w:pPr>
        <w:pStyle w:val="Heading2"/>
        <w:spacing w:before="120" w:after="60"/>
      </w:pPr>
      <w:r>
        <w:t>Tarif</w:t>
      </w:r>
    </w:p>
    <w:p>
      <w:pPr>
        <w:pStyle w:val="ListBullet"/>
        <w:spacing w:after="40"/>
      </w:pPr>
      <w:r>
        <w:t>Prix sur demande</w:t>
      </w:r>
    </w:p>
    <w:p>
      <w:pPr>
        <w:pStyle w:val="Heading2"/>
        <w:spacing w:before="120" w:after="60"/>
      </w:pPr>
      <w:r>
        <w:t>Résultats attendus</w:t>
      </w:r>
    </w:p>
    <w:p>
      <w:pPr>
        <w:pStyle w:val="ListBullet"/>
        <w:spacing w:after="40"/>
      </w:pPr>
      <w:r>
        <w:t>20 à 40 % sur les délais de réponse (demandes simples et récurrentes).</w:t>
      </w:r>
    </w:p>
    <w:p>
      <w:pPr>
        <w:pStyle w:val="ListBullet"/>
        <w:spacing w:after="40"/>
      </w:pPr>
      <w:r>
        <w:t>Plus de cohérence sur plusieurs canaux (scripts, FAQ, réponses types).</w:t>
      </w:r>
    </w:p>
    <w:p>
      <w:pPr>
        <w:pStyle w:val="ListBullet"/>
        <w:spacing w:after="40"/>
      </w:pPr>
      <w:r>
        <w:t>Feedback plus lisible pour les managers (réclamations et verbatims).</w:t>
      </w:r>
    </w:p>
    <w:p>
      <w:pPr>
        <w:pStyle w:val="ListBullet"/>
        <w:spacing w:after="40"/>
      </w:pPr>
      <w:r>
        <w:t>Meilleure résolution au premier niveau (qualification et orientation).</w:t>
      </w:r>
    </w:p>
    <w:p>
      <w:pPr>
        <w:pStyle w:val="ListBullet"/>
        <w:spacing w:after="40"/>
      </w:pPr>
      <w:r>
        <w:t>Une feuille de route claire sur les deux premiers cas d’usage à lancer dans le service client.</w:t>
      </w:r>
    </w:p>
    <w:p>
      <w:pPr>
        <w:pStyle w:val="ListBullet"/>
        <w:spacing w:after="40"/>
      </w:pPr>
      <w:r>
        <w:t>Une meilleure capacité à relier formation, gouvernance, pilote et retour sur investissement visible.</w:t>
      </w:r>
    </w:p>
    <w:p>
      <w:pPr>
        <w:pStyle w:val="Heading2"/>
        <w:spacing w:before="120" w:after="60"/>
      </w:pPr>
      <w:r>
        <w:t>Objectifs pédagogiques</w:t>
      </w:r>
    </w:p>
    <w:p>
      <w:pPr>
        <w:pStyle w:val="ListBullet"/>
        <w:spacing w:after="40"/>
      </w:pPr>
      <w:r>
        <w:t>Identifier les priorités métier les plus crédibles à traiter par l’IA dans le service client.</w:t>
      </w:r>
    </w:p>
    <w:p>
      <w:pPr>
        <w:pStyle w:val="ListBullet"/>
        <w:spacing w:after="40"/>
      </w:pPr>
      <w:r>
        <w:t>Savoir structurer et piloter le cas d’usage « Assistant de réponse et FAQ métier ».</w:t>
      </w:r>
    </w:p>
    <w:p>
      <w:pPr>
        <w:pStyle w:val="ListBullet"/>
        <w:spacing w:after="40"/>
      </w:pPr>
      <w:r>
        <w:t>Savoir structurer et piloter le cas d’usage « Qualification et tri des demandes ».</w:t>
      </w:r>
    </w:p>
    <w:p>
      <w:pPr>
        <w:pStyle w:val="ListBullet"/>
        <w:spacing w:after="40"/>
      </w:pPr>
      <w:r>
        <w:t>Savoir structurer et piloter le cas d’usage « Analyse des réclamations et verbatims ».</w:t>
      </w:r>
    </w:p>
    <w:p>
      <w:pPr>
        <w:pStyle w:val="ListBullet"/>
        <w:spacing w:after="40"/>
      </w:pPr>
      <w:r>
        <w:t>Distinguer les usages immédiatement activables, les usages à encadrer et les usages à piloter dans le temps.</w:t>
      </w:r>
    </w:p>
    <w:p>
      <w:pPr>
        <w:pStyle w:val="ListBullet"/>
        <w:spacing w:after="40"/>
      </w:pPr>
      <w:r>
        <w:t>Définir des KPI simples, un cadre de confiance et un premier plan d’action à 90 jours.</w:t>
      </w:r>
    </w:p>
    <w:p>
      <w:pPr>
        <w:pStyle w:val="Heading2"/>
        <w:spacing w:before="120" w:after="60"/>
      </w:pPr>
      <w:r>
        <w:t>Programme</w:t>
      </w:r>
    </w:p>
    <w:p>
      <w:pPr>
        <w:pStyle w:val="Heading3"/>
        <w:spacing w:before="120" w:after="60"/>
      </w:pPr>
      <w:r>
        <w:t>Jour 1</w:t>
      </w:r>
    </w:p>
    <w:p>
      <w:pPr>
        <w:pStyle w:val="ListBullet"/>
        <w:spacing w:after="40"/>
      </w:pPr>
      <w:r>
        <w:t>Lecture des enjeux sectoriels : Ici, l’IA doit d’abord rendre le service plus stable, plus rapide et mieux piloté. Le ROI se lit dans les temps de réponse, la résolution et la qualité de traitement.</w:t>
      </w:r>
    </w:p>
    <w:p>
      <w:pPr>
        <w:pStyle w:val="ListBullet"/>
        <w:spacing w:after="40"/>
      </w:pPr>
      <w:r>
        <w:t>Cartographie des priorités métier confirmées : Réponses hétérogènes ; Traitement lent des demandes récurrentes ; Feedback client peu exploité.</w:t>
      </w:r>
    </w:p>
    <w:p>
      <w:pPr>
        <w:pStyle w:val="ListBullet"/>
        <w:spacing w:after="40"/>
      </w:pPr>
      <w:r>
        <w:t>Études de cas guidées autour de « Assistant de réponse et FAQ métier » et « Qualification et tri des demandes ».</w:t>
      </w:r>
    </w:p>
    <w:p>
      <w:pPr>
        <w:pStyle w:val="ListBullet"/>
        <w:spacing w:after="40"/>
      </w:pPr>
      <w:r>
        <w:t>Méthodes, outils et gestes professionnels à partir des ancrages pédagogiques suivants : Chatbots Intelligents pour le Service Client ; Expérience Client Omnicanale avec l’IA ; Analyse de Sentiment et Feedback Client.</w:t>
      </w:r>
    </w:p>
    <w:p>
      <w:pPr>
        <w:pStyle w:val="ListBullet"/>
        <w:spacing w:after="40"/>
      </w:pPr>
      <w:r>
        <w:t>Cadre de confiance : confidentialité, supervision humaine, validation managériale et critères d’extension.</w:t>
      </w:r>
    </w:p>
    <w:p>
      <w:pPr>
        <w:pStyle w:val="Heading3"/>
        <w:spacing w:before="120" w:after="60"/>
      </w:pPr>
      <w:r>
        <w:t>Jour 2</w:t>
      </w:r>
    </w:p>
    <w:p>
      <w:pPr>
        <w:pStyle w:val="ListBullet"/>
        <w:spacing w:after="40"/>
      </w:pPr>
      <w:r>
        <w:t>Cette journée s’active lorsque la formule 2 jours est retenue.</w:t>
      </w:r>
    </w:p>
    <w:p>
      <w:pPr>
        <w:pStyle w:val="ListBullet"/>
        <w:spacing w:after="40"/>
      </w:pPr>
      <w:r>
        <w:t>Ateliers de conception sur « Analyse des réclamations et verbatims » et « Pilotage omnicanal et satisfaction ».</w:t>
      </w:r>
    </w:p>
    <w:p>
      <w:pPr>
        <w:pStyle w:val="ListBullet"/>
        <w:spacing w:after="40"/>
      </w:pPr>
      <w:r>
        <w:t>Construction de prompts, trames, routines et scénarios d’usage adaptés au terrain.</w:t>
      </w:r>
    </w:p>
    <w:p>
      <w:pPr>
        <w:pStyle w:val="ListBullet"/>
        <w:spacing w:after="40"/>
      </w:pPr>
      <w:r>
        <w:t>Approfondissements recommandés : Gestion des Réclamations Automatisée ; Mesurer la Satisfaction Client avec l’IA ; Personnalisation du Parcours Client avec l’IA.</w:t>
      </w:r>
    </w:p>
    <w:p>
      <w:pPr>
        <w:pStyle w:val="ListBullet"/>
        <w:spacing w:after="40"/>
      </w:pPr>
      <w:r>
        <w:t>Définition du premier pilote, des livrables attendus et des KPI de suivi.</w:t>
      </w:r>
    </w:p>
    <w:p>
      <w:pPr>
        <w:pStyle w:val="ListBullet"/>
        <w:spacing w:after="40"/>
      </w:pPr>
      <w:r>
        <w:t>Plan d’action à 90 jours : séquencement, populations à former, gouvernance et arbitrages de déploiement.</w:t>
      </w:r>
    </w:p>
    <w:p>
      <w:pPr>
        <w:pStyle w:val="Heading2"/>
        <w:spacing w:before="120" w:after="60"/>
      </w:pPr>
      <w:r>
        <w:t>Livrables / attendus</w:t>
      </w:r>
    </w:p>
    <w:p>
      <w:pPr>
        <w:pStyle w:val="ListBullet"/>
        <w:spacing w:after="40"/>
      </w:pPr>
      <w:r>
        <w:t>Une note de cadrage sectorielle pour le service client avec priorités confirmées, risques et premières décisions.</w:t>
      </w:r>
    </w:p>
    <w:p>
      <w:pPr>
        <w:pStyle w:val="ListBullet"/>
        <w:spacing w:after="40"/>
      </w:pPr>
      <w:r>
        <w:t>Une matrice des cas d’usage prioritaires incluant « Assistant de réponse et FAQ métier » ; « Qualification et tri des demandes » ; « Analyse des réclamations et verbatims » ; « Pilotage omnicanal et satisfaction ».</w:t>
      </w:r>
    </w:p>
    <w:p>
      <w:pPr>
        <w:pStyle w:val="ListBullet"/>
        <w:spacing w:after="40"/>
      </w:pPr>
      <w:r>
        <w:t>Un canevas de pilote à 90 jours avec KPI, rôles, supervision et critères de succès.</w:t>
      </w:r>
    </w:p>
    <w:p>
      <w:pPr>
        <w:pStyle w:val="ListBullet"/>
        <w:spacing w:after="40"/>
      </w:pPr>
      <w:r>
        <w:t>Une recommandation de parcours de montée en compétences à partir de : Chatbots Intelligents pour le Service Client ; Expérience Client Omnicanale avec l’IA ; Analyse de Sentiment et Feedback Client ; Gestion des Réclamations Automatisée.</w:t>
      </w:r>
    </w:p>
    <w:p>
      <w:pPr>
        <w:pStyle w:val="Heading2"/>
        <w:spacing w:before="120" w:after="60"/>
      </w:pPr>
      <w:r>
        <w:t>Ancrages pédagogiques recommandés</w:t>
      </w:r>
    </w:p>
    <w:p>
      <w:pPr>
        <w:pStyle w:val="ListBullet"/>
        <w:spacing w:after="40"/>
      </w:pPr>
      <w:r>
        <w:t>Chatbots Intelligents pour le Service Client</w:t>
      </w:r>
    </w:p>
    <w:p>
      <w:pPr>
        <w:pStyle w:val="ListBullet"/>
        <w:spacing w:after="40"/>
      </w:pPr>
      <w:r>
        <w:t>Expérience Client Omnicanale avec l’IA</w:t>
      </w:r>
    </w:p>
    <w:p>
      <w:pPr>
        <w:pStyle w:val="ListBullet"/>
        <w:spacing w:after="40"/>
      </w:pPr>
      <w:r>
        <w:t>Analyse de Sentiment et Feedback Client</w:t>
      </w:r>
    </w:p>
    <w:p>
      <w:pPr>
        <w:pStyle w:val="ListBullet"/>
        <w:spacing w:after="40"/>
      </w:pPr>
      <w:r>
        <w:t>Gestion des Réclamations Automatisée</w:t>
      </w:r>
    </w:p>
    <w:p>
      <w:pPr>
        <w:pStyle w:val="ListBullet"/>
        <w:spacing w:after="40"/>
      </w:pPr>
      <w:r>
        <w:t>Mesurer la Satisfaction Client avec l’IA</w:t>
      </w:r>
    </w:p>
    <w:p>
      <w:pPr>
        <w:pStyle w:val="ListBullet"/>
        <w:spacing w:after="40"/>
      </w:pPr>
      <w:r>
        <w:t>Personnalisation du Parcours Client avec l’IA</w:t>
      </w:r>
    </w:p>
    <w:p>
      <w:pPr>
        <w:pStyle w:val="Heading2"/>
        <w:spacing w:before="120" w:after="60"/>
      </w:pPr>
      <w:r>
        <w:t>Mention de personnalisation</w:t>
      </w:r>
    </w:p>
    <w:p>
      <w:pPr>
        <w:pStyle w:val="ListBullet"/>
        <w:spacing w:after="40"/>
      </w:pPr>
      <w:r>
        <w:t>Le contenu final est ajusté après qualification du contexte, des outils déjà utilisés, des données disponibles et des arbitrages de confidentialité propres au prospect.</w:t>
      </w:r>
    </w:p>
    <w:p>
      <w:pPr>
        <w:pStyle w:val="Heading1"/>
        <w:spacing w:before="200" w:after="60"/>
      </w:pPr>
      <w:r>
        <w:t>TransferAI - Mini catalogue premium Data &amp; Analyse</w:t>
      </w:r>
    </w:p>
    <w:p>
      <w:pPr>
        <w:spacing w:after="120"/>
      </w:pPr>
      <w:r>
        <w:t>Catalogue ciblé par secteur | Formule prioritaire sur mesure | Édition du 2026-06-12</w:t>
      </w:r>
    </w:p>
    <w:p>
      <w:pPr>
        <w:spacing w:after="120"/>
      </w:pPr>
      <w:r>
        <w:t>Ce document est conçu pour des prospects de même univers métier. Il peut être adapté à une organisation précise après audit IA gratuit et échange expert de qualification.</w:t>
      </w:r>
    </w:p>
    <w:p>
      <w:pPr>
        <w:pStyle w:val="Heading1"/>
        <w:spacing w:before="200" w:after="60"/>
      </w:pPr>
      <w:r>
        <w:t>Fiche sectorielle 07 / 16</w:t>
      </w:r>
    </w:p>
    <w:p>
      <w:pPr>
        <w:pStyle w:val="Heading2"/>
        <w:spacing w:before="120" w:after="60"/>
      </w:pPr>
      <w:r>
        <w:t>Domaine de référence</w:t>
      </w:r>
    </w:p>
    <w:p>
      <w:pPr>
        <w:pStyle w:val="ListBullet"/>
        <w:spacing w:after="40"/>
      </w:pPr>
      <w:r>
        <w:t>Data &amp; Analyse | Contextes proches : Banque / Finance ; Assurance ; Télécommunications ; Énergie / Électricité ; Agro-industrie / Cacao</w:t>
      </w:r>
    </w:p>
    <w:p>
      <w:pPr>
        <w:pStyle w:val="Heading2"/>
        <w:spacing w:before="120" w:after="60"/>
      </w:pPr>
      <w:r>
        <w:t>Enjeux sectoriels</w:t>
      </w:r>
    </w:p>
    <w:p>
      <w:pPr>
        <w:pStyle w:val="ListBullet"/>
        <w:spacing w:after="40"/>
      </w:pPr>
      <w:r>
        <w:t>Dans ce domaine, l’IA est surtout utile pour commenter, résumer, structurer et démocratiser la lecture des données sans affaiblir la qualité des modèles ni la gouvernance.</w:t>
      </w:r>
    </w:p>
    <w:p>
      <w:pPr>
        <w:pStyle w:val="ListBullet"/>
        <w:spacing w:after="40"/>
      </w:pPr>
      <w:r>
        <w:t>Données présentes, lecture insuffisante : Les tableaux existent mais demandent encore beaucoup d’efforts pour être compris et actionnés. Les synthèses et commentaires automatiques aident à relire les écarts, signaux et tendances plus vite.</w:t>
      </w:r>
    </w:p>
    <w:p>
      <w:pPr>
        <w:pStyle w:val="ListBullet"/>
        <w:spacing w:after="40"/>
      </w:pPr>
      <w:r>
        <w:t>Préparation de données chronophage : Le nettoyage, la documentation et les requêtes récurrentes consomment trop de bande passante experte. Les routines de préparation et d’explication deviennent plus rapides et plus transmissibles.</w:t>
      </w:r>
    </w:p>
    <w:p>
      <w:pPr>
        <w:pStyle w:val="ListBullet"/>
        <w:spacing w:after="40"/>
      </w:pPr>
      <w:r>
        <w:t>Décideurs peu autonomes : Les métiers dépendent fortement de quelques profils data pour répondre aux questions simples. Des sorties plus pédagogiques et mieux formulées élargissent l’usage business des données.</w:t>
      </w:r>
    </w:p>
    <w:p>
      <w:pPr>
        <w:pStyle w:val="ListBullet"/>
        <w:spacing w:after="40"/>
      </w:pPr>
      <w:r>
        <w:t>Gouvernance parfois faible : Les sources, définitions et usages ne sont pas toujours suffisamment cadrés. Les règles de qualité, dictionnaires et usages pilotés sont mieux structurés autour de la donnée utile.</w:t>
      </w:r>
    </w:p>
    <w:p>
      <w:pPr>
        <w:pStyle w:val="Heading2"/>
        <w:spacing w:before="120" w:after="60"/>
      </w:pPr>
      <w:r>
        <w:t>Contexte secteur à confirmer</w:t>
      </w:r>
    </w:p>
    <w:p>
      <w:pPr>
        <w:pStyle w:val="ListBullet"/>
        <w:spacing w:after="40"/>
      </w:pPr>
      <w:r>
        <w:t>Exemples de contextes proches : Banque / Finance ; Assurance ; Télécommunications ; Énergie / Électricité ; Agro-industrie / Cacao.</w:t>
      </w:r>
    </w:p>
    <w:p>
      <w:pPr>
        <w:pStyle w:val="ListBullet"/>
        <w:spacing w:after="40"/>
      </w:pPr>
      <w:r>
        <w:t>Les enjeux confirmés au cadrage doivent être reliés à des priorités visibles pour la data et l’analyse.</w:t>
      </w:r>
    </w:p>
    <w:p>
      <w:pPr>
        <w:pStyle w:val="ListBullet"/>
        <w:spacing w:after="40"/>
      </w:pPr>
      <w:r>
        <w:t>Le périmètre à confirmer peut concerner un site pilote, une direction donnée, une équipe support ou un processus transverse.</w:t>
      </w:r>
    </w:p>
    <w:p>
      <w:pPr>
        <w:pStyle w:val="ListBullet"/>
        <w:spacing w:after="40"/>
      </w:pPr>
      <w:r>
        <w:t>Les cas d’usage retenus doivent être validés selon les données disponibles, les règles de confidentialité et la capacité de supervision humaine.</w:t>
      </w:r>
    </w:p>
    <w:p>
      <w:pPr>
        <w:pStyle w:val="Heading2"/>
        <w:spacing w:before="120" w:after="60"/>
      </w:pPr>
      <w:r>
        <w:t>Cas d’usage TransferAI mis en avant</w:t>
      </w:r>
    </w:p>
    <w:p>
      <w:pPr>
        <w:pStyle w:val="ListBullet"/>
        <w:spacing w:after="40"/>
      </w:pPr>
      <w:r>
        <w:rPr>
          <w:b/>
        </w:rPr>
        <w:t>Commentaires automatiques de tableaux de bord</w:t>
      </w:r>
      <w:r>
        <w:t xml:space="preserve"> : Des synthèses claires aident à comprendre rapidement les écarts, alertes et priorités. KPI de référence : Temps de lecture des KPI ; délai d’arbitrage.</w:t>
      </w:r>
    </w:p>
    <w:p>
      <w:pPr>
        <w:pStyle w:val="ListBullet"/>
        <w:spacing w:after="40"/>
      </w:pPr>
      <w:r>
        <w:rPr>
          <w:b/>
        </w:rPr>
        <w:t>Préparation et nettoyage assistés</w:t>
      </w:r>
      <w:r>
        <w:t xml:space="preserve"> : Les équipes accélèrent la documentation, le nettoyage et les requêtes récurrentes. KPI de référence : Temps de préparation ; nombre d’itérations évitées.</w:t>
      </w:r>
    </w:p>
    <w:p>
      <w:pPr>
        <w:pStyle w:val="ListBullet"/>
        <w:spacing w:after="40"/>
      </w:pPr>
      <w:r>
        <w:rPr>
          <w:b/>
        </w:rPr>
        <w:t>BI plus pédagogique pour les métiers</w:t>
      </w:r>
      <w:r>
        <w:t xml:space="preserve"> : Les sorties deviennent plus pédagogiques avec des recommandations de lecture mieux formulées. KPI de référence : Taux d’usage des dashboards ; nombre de décisions soutenues.</w:t>
      </w:r>
    </w:p>
    <w:p>
      <w:pPr>
        <w:pStyle w:val="ListBullet"/>
        <w:spacing w:after="40"/>
      </w:pPr>
      <w:r>
        <w:rPr>
          <w:b/>
        </w:rPr>
        <w:t>Gouvernance des données et dictionnaires</w:t>
      </w:r>
      <w:r>
        <w:t xml:space="preserve"> : Les référentiels deviennent plus faciles à documenter, relire et partager. KPI de référence : Temps de documentation ; cohérence des définitions.</w:t>
      </w:r>
    </w:p>
    <w:p>
      <w:pPr>
        <w:pStyle w:val="Heading1"/>
        <w:spacing w:before="200" w:after="60"/>
      </w:pPr>
      <w:r>
        <w:t>Formule prioritaire recommandée</w:t>
      </w:r>
    </w:p>
    <w:p>
      <w:pPr>
        <w:pStyle w:val="Heading2"/>
        <w:spacing w:before="120" w:after="60"/>
      </w:pPr>
      <w:r>
        <w:t>Intitulé</w:t>
      </w:r>
    </w:p>
    <w:p>
      <w:pPr>
        <w:pStyle w:val="ListBullet"/>
        <w:spacing w:after="40"/>
      </w:pPr>
      <w:r>
        <w:t>Bootcamp IA sectoriel Data &amp; Analyse : de l’acculturation utile au premier pilote mesurable</w:t>
      </w:r>
    </w:p>
    <w:p>
      <w:pPr>
        <w:pStyle w:val="Heading2"/>
        <w:spacing w:before="120" w:after="60"/>
      </w:pPr>
      <w:r>
        <w:t>Public cible</w:t>
      </w:r>
    </w:p>
    <w:p>
      <w:pPr>
        <w:pStyle w:val="ListBullet"/>
        <w:spacing w:after="40"/>
      </w:pPr>
      <w:r>
        <w:t>Directions data, BI, performance, contrôle, équipes d’analystes et managers utilisateurs</w:t>
      </w:r>
    </w:p>
    <w:p>
      <w:pPr>
        <w:pStyle w:val="Heading2"/>
        <w:spacing w:before="120" w:after="60"/>
      </w:pPr>
      <w:r>
        <w:t>Formats possibles</w:t>
      </w:r>
    </w:p>
    <w:p>
      <w:pPr>
        <w:pStyle w:val="ListBullet"/>
        <w:spacing w:after="40"/>
      </w:pPr>
      <w:r>
        <w:t>Présentiel</w:t>
      </w:r>
    </w:p>
    <w:p>
      <w:pPr>
        <w:pStyle w:val="ListBullet"/>
        <w:spacing w:after="40"/>
      </w:pPr>
      <w:r>
        <w:t>Hybride</w:t>
      </w:r>
    </w:p>
    <w:p>
      <w:pPr>
        <w:pStyle w:val="ListBullet"/>
        <w:spacing w:after="40"/>
      </w:pPr>
      <w:r>
        <w:t>En ligne (style webinaire)</w:t>
      </w:r>
    </w:p>
    <w:p>
      <w:pPr>
        <w:pStyle w:val="Heading2"/>
        <w:spacing w:before="120" w:after="60"/>
      </w:pPr>
      <w:r>
        <w:t>Niveaux</w:t>
      </w:r>
    </w:p>
    <w:p>
      <w:pPr>
        <w:pStyle w:val="ListBullet"/>
        <w:spacing w:after="40"/>
      </w:pPr>
      <w:r>
        <w:t>Débutant</w:t>
      </w:r>
    </w:p>
    <w:p>
      <w:pPr>
        <w:pStyle w:val="ListBullet"/>
        <w:spacing w:after="40"/>
      </w:pPr>
      <w:r>
        <w:t>Intermédiaire</w:t>
      </w:r>
    </w:p>
    <w:p>
      <w:pPr>
        <w:pStyle w:val="ListBullet"/>
        <w:spacing w:after="40"/>
      </w:pPr>
      <w:r>
        <w:t>Avancé</w:t>
      </w:r>
    </w:p>
    <w:p>
      <w:pPr>
        <w:pStyle w:val="Heading2"/>
        <w:spacing w:before="120" w:after="60"/>
      </w:pPr>
      <w:r>
        <w:t>Durée</w:t>
      </w:r>
    </w:p>
    <w:p>
      <w:pPr>
        <w:pStyle w:val="ListBullet"/>
        <w:spacing w:after="40"/>
      </w:pPr>
      <w:r>
        <w:t>1 jour : version décideurs et managers</w:t>
      </w:r>
    </w:p>
    <w:p>
      <w:pPr>
        <w:pStyle w:val="ListBullet"/>
        <w:spacing w:after="40"/>
      </w:pPr>
      <w:r>
        <w:t>2 jours : version équipes, managers et mise en pratique</w:t>
      </w:r>
    </w:p>
    <w:p>
      <w:pPr>
        <w:pStyle w:val="Heading2"/>
        <w:spacing w:before="120" w:after="60"/>
      </w:pPr>
      <w:r>
        <w:t>Tarif</w:t>
      </w:r>
    </w:p>
    <w:p>
      <w:pPr>
        <w:pStyle w:val="ListBullet"/>
        <w:spacing w:after="40"/>
      </w:pPr>
      <w:r>
        <w:t>Prix sur demande</w:t>
      </w:r>
    </w:p>
    <w:p>
      <w:pPr>
        <w:pStyle w:val="Heading2"/>
        <w:spacing w:before="120" w:after="60"/>
      </w:pPr>
      <w:r>
        <w:t>Résultats attendus</w:t>
      </w:r>
    </w:p>
    <w:p>
      <w:pPr>
        <w:pStyle w:val="ListBullet"/>
        <w:spacing w:after="40"/>
      </w:pPr>
      <w:r>
        <w:t>25 à 45 % sur le temps de reporting (commentaires, synthèses, notes).</w:t>
      </w:r>
    </w:p>
    <w:p>
      <w:pPr>
        <w:pStyle w:val="ListBullet"/>
        <w:spacing w:after="40"/>
      </w:pPr>
      <w:r>
        <w:t>Lecture plus rapide des écarts KPI (pour managers et direction).</w:t>
      </w:r>
    </w:p>
    <w:p>
      <w:pPr>
        <w:pStyle w:val="ListBullet"/>
        <w:spacing w:after="40"/>
      </w:pPr>
      <w:r>
        <w:t>Plus d’autonomie métier sur les demandes simples (questions et relances récurrentes).</w:t>
      </w:r>
    </w:p>
    <w:p>
      <w:pPr>
        <w:pStyle w:val="ListBullet"/>
        <w:spacing w:after="40"/>
      </w:pPr>
      <w:r>
        <w:t>Gouvernance renforcée sur les sources et définitions (qualité des indicateurs).</w:t>
      </w:r>
    </w:p>
    <w:p>
      <w:pPr>
        <w:pStyle w:val="ListBullet"/>
        <w:spacing w:after="40"/>
      </w:pPr>
      <w:r>
        <w:t>Une feuille de route claire sur les deux premiers cas d’usage à lancer dans la data et l’analyse.</w:t>
      </w:r>
    </w:p>
    <w:p>
      <w:pPr>
        <w:pStyle w:val="ListBullet"/>
        <w:spacing w:after="40"/>
      </w:pPr>
      <w:r>
        <w:t>Une meilleure capacité à relier formation, gouvernance, pilote et retour sur investissement visible.</w:t>
      </w:r>
    </w:p>
    <w:p>
      <w:pPr>
        <w:pStyle w:val="Heading2"/>
        <w:spacing w:before="120" w:after="60"/>
      </w:pPr>
      <w:r>
        <w:t>Objectifs pédagogiques</w:t>
      </w:r>
    </w:p>
    <w:p>
      <w:pPr>
        <w:pStyle w:val="ListBullet"/>
        <w:spacing w:after="40"/>
      </w:pPr>
      <w:r>
        <w:t>Identifier les priorités métier les plus crédibles à traiter par l’IA dans la data et l’analyse.</w:t>
      </w:r>
    </w:p>
    <w:p>
      <w:pPr>
        <w:pStyle w:val="ListBullet"/>
        <w:spacing w:after="40"/>
      </w:pPr>
      <w:r>
        <w:t>Savoir structurer et piloter le cas d’usage « Commentaires automatiques de tableaux de bord ».</w:t>
      </w:r>
    </w:p>
    <w:p>
      <w:pPr>
        <w:pStyle w:val="ListBullet"/>
        <w:spacing w:after="40"/>
      </w:pPr>
      <w:r>
        <w:t>Savoir structurer et piloter le cas d’usage « Préparation et nettoyage assistés ».</w:t>
      </w:r>
    </w:p>
    <w:p>
      <w:pPr>
        <w:pStyle w:val="ListBullet"/>
        <w:spacing w:after="40"/>
      </w:pPr>
      <w:r>
        <w:t>Savoir structurer et piloter le cas d’usage « BI plus pédagogique pour les métiers ».</w:t>
      </w:r>
    </w:p>
    <w:p>
      <w:pPr>
        <w:pStyle w:val="ListBullet"/>
        <w:spacing w:after="40"/>
      </w:pPr>
      <w:r>
        <w:t>Distinguer les usages immédiatement activables, les usages à encadrer et les usages à piloter dans le temps.</w:t>
      </w:r>
    </w:p>
    <w:p>
      <w:pPr>
        <w:pStyle w:val="ListBullet"/>
        <w:spacing w:after="40"/>
      </w:pPr>
      <w:r>
        <w:t>Définir des KPI simples, un cadre de confiance et un premier plan d’action à 90 jours.</w:t>
      </w:r>
    </w:p>
    <w:p>
      <w:pPr>
        <w:pStyle w:val="Heading2"/>
        <w:spacing w:before="120" w:after="60"/>
      </w:pPr>
      <w:r>
        <w:t>Programme</w:t>
      </w:r>
    </w:p>
    <w:p>
      <w:pPr>
        <w:pStyle w:val="Heading3"/>
        <w:spacing w:before="120" w:after="60"/>
      </w:pPr>
      <w:r>
        <w:t>Jour 1</w:t>
      </w:r>
    </w:p>
    <w:p>
      <w:pPr>
        <w:pStyle w:val="ListBullet"/>
        <w:spacing w:after="40"/>
      </w:pPr>
      <w:r>
        <w:t>Lecture des enjeux sectoriels : Dans ce domaine, l’IA est surtout utile pour commenter, résumer, structurer et démocratiser la lecture des données sans affaiblir la qualité des modèles ni la gouvernance.</w:t>
      </w:r>
    </w:p>
    <w:p>
      <w:pPr>
        <w:pStyle w:val="ListBullet"/>
        <w:spacing w:after="40"/>
      </w:pPr>
      <w:r>
        <w:t>Cartographie des priorités métier confirmées : Données présentes, lecture insuffisante ; Préparation de données chronophage ; Décideurs peu autonomes.</w:t>
      </w:r>
    </w:p>
    <w:p>
      <w:pPr>
        <w:pStyle w:val="ListBullet"/>
        <w:spacing w:after="40"/>
      </w:pPr>
      <w:r>
        <w:t>Études de cas guidées autour de « Commentaires automatiques de tableaux de bord » et « Préparation et nettoyage assistés ».</w:t>
      </w:r>
    </w:p>
    <w:p>
      <w:pPr>
        <w:pStyle w:val="ListBullet"/>
        <w:spacing w:after="40"/>
      </w:pPr>
      <w:r>
        <w:t>Méthodes, outils et gestes professionnels à partir des ancrages pédagogiques suivants : Power BI et Tableaux de Bord IA ; Business Intelligence et IA ; Visualisation de Données avec IA.</w:t>
      </w:r>
    </w:p>
    <w:p>
      <w:pPr>
        <w:pStyle w:val="ListBullet"/>
        <w:spacing w:after="40"/>
      </w:pPr>
      <w:r>
        <w:t>Cadre de confiance : confidentialité, supervision humaine, validation managériale et critères d’extension.</w:t>
      </w:r>
    </w:p>
    <w:p>
      <w:pPr>
        <w:pStyle w:val="Heading3"/>
        <w:spacing w:before="120" w:after="60"/>
      </w:pPr>
      <w:r>
        <w:t>Jour 2</w:t>
      </w:r>
    </w:p>
    <w:p>
      <w:pPr>
        <w:pStyle w:val="ListBullet"/>
        <w:spacing w:after="40"/>
      </w:pPr>
      <w:r>
        <w:t>Cette journée s’active lorsque la formule 2 jours est retenue.</w:t>
      </w:r>
    </w:p>
    <w:p>
      <w:pPr>
        <w:pStyle w:val="ListBullet"/>
        <w:spacing w:after="40"/>
      </w:pPr>
      <w:r>
        <w:t>Ateliers de conception sur « BI plus pédagogique pour les métiers » et « Gouvernance des données et dictionnaires ».</w:t>
      </w:r>
    </w:p>
    <w:p>
      <w:pPr>
        <w:pStyle w:val="ListBullet"/>
        <w:spacing w:after="40"/>
      </w:pPr>
      <w:r>
        <w:t>Construction de prompts, trames, routines et scénarios d’usage adaptés au terrain.</w:t>
      </w:r>
    </w:p>
    <w:p>
      <w:pPr>
        <w:pStyle w:val="ListBullet"/>
        <w:spacing w:after="40"/>
      </w:pPr>
      <w:r>
        <w:t>Approfondissements recommandés : SQL et Bases de Données pour l’Analyse IA ; Nettoyage et Préparation de Données avec l’IA ; Gouvernance des Données et IA.</w:t>
      </w:r>
    </w:p>
    <w:p>
      <w:pPr>
        <w:pStyle w:val="ListBullet"/>
        <w:spacing w:after="40"/>
      </w:pPr>
      <w:r>
        <w:t>Définition du premier pilote, des livrables attendus et des KPI de suivi.</w:t>
      </w:r>
    </w:p>
    <w:p>
      <w:pPr>
        <w:pStyle w:val="ListBullet"/>
        <w:spacing w:after="40"/>
      </w:pPr>
      <w:r>
        <w:t>Plan d’action à 90 jours : séquencement, populations à former, gouvernance et arbitrages de déploiement.</w:t>
      </w:r>
    </w:p>
    <w:p>
      <w:pPr>
        <w:pStyle w:val="Heading2"/>
        <w:spacing w:before="120" w:after="60"/>
      </w:pPr>
      <w:r>
        <w:t>Livrables / attendus</w:t>
      </w:r>
    </w:p>
    <w:p>
      <w:pPr>
        <w:pStyle w:val="ListBullet"/>
        <w:spacing w:after="40"/>
      </w:pPr>
      <w:r>
        <w:t>Une note de cadrage sectorielle pour la data et l’analyse avec priorités confirmées, risques et premières décisions.</w:t>
      </w:r>
    </w:p>
    <w:p>
      <w:pPr>
        <w:pStyle w:val="ListBullet"/>
        <w:spacing w:after="40"/>
      </w:pPr>
      <w:r>
        <w:t>Une matrice des cas d’usage prioritaires incluant « Commentaires automatiques de tableaux de bord » ; « Préparation et nettoyage assistés » ; « BI plus pédagogique pour les métiers » ; « Gouvernance des données et dictionnaires ».</w:t>
      </w:r>
    </w:p>
    <w:p>
      <w:pPr>
        <w:pStyle w:val="ListBullet"/>
        <w:spacing w:after="40"/>
      </w:pPr>
      <w:r>
        <w:t>Un canevas de pilote à 90 jours avec KPI, rôles, supervision et critères de succès.</w:t>
      </w:r>
    </w:p>
    <w:p>
      <w:pPr>
        <w:pStyle w:val="ListBullet"/>
        <w:spacing w:after="40"/>
      </w:pPr>
      <w:r>
        <w:t>Une recommandation de parcours de montée en compétences à partir de : Power BI et Tableaux de Bord IA ; Business Intelligence et IA ; Visualisation de Données avec IA ; SQL et Bases de Données pour l’Analyse IA.</w:t>
      </w:r>
    </w:p>
    <w:p>
      <w:pPr>
        <w:pStyle w:val="Heading2"/>
        <w:spacing w:before="120" w:after="60"/>
      </w:pPr>
      <w:r>
        <w:t>Ancrages pédagogiques recommandés</w:t>
      </w:r>
    </w:p>
    <w:p>
      <w:pPr>
        <w:pStyle w:val="ListBullet"/>
        <w:spacing w:after="40"/>
      </w:pPr>
      <w:r>
        <w:t>Power BI et Tableaux de Bord IA</w:t>
      </w:r>
    </w:p>
    <w:p>
      <w:pPr>
        <w:pStyle w:val="ListBullet"/>
        <w:spacing w:after="40"/>
      </w:pPr>
      <w:r>
        <w:t>Business Intelligence et IA</w:t>
      </w:r>
    </w:p>
    <w:p>
      <w:pPr>
        <w:pStyle w:val="ListBullet"/>
        <w:spacing w:after="40"/>
      </w:pPr>
      <w:r>
        <w:t>Visualisation de Données avec IA</w:t>
      </w:r>
    </w:p>
    <w:p>
      <w:pPr>
        <w:pStyle w:val="ListBullet"/>
        <w:spacing w:after="40"/>
      </w:pPr>
      <w:r>
        <w:t>SQL et Bases de Données pour l’Analyse IA</w:t>
      </w:r>
    </w:p>
    <w:p>
      <w:pPr>
        <w:pStyle w:val="ListBullet"/>
        <w:spacing w:after="40"/>
      </w:pPr>
      <w:r>
        <w:t>Nettoyage et Préparation de Données avec l’IA</w:t>
      </w:r>
    </w:p>
    <w:p>
      <w:pPr>
        <w:pStyle w:val="ListBullet"/>
        <w:spacing w:after="40"/>
      </w:pPr>
      <w:r>
        <w:t>Gouvernance des Données et IA</w:t>
      </w:r>
    </w:p>
    <w:p>
      <w:pPr>
        <w:pStyle w:val="Heading2"/>
        <w:spacing w:before="120" w:after="60"/>
      </w:pPr>
      <w:r>
        <w:t>Mention de personnalisation</w:t>
      </w:r>
    </w:p>
    <w:p>
      <w:pPr>
        <w:pStyle w:val="ListBullet"/>
        <w:spacing w:after="40"/>
      </w:pPr>
      <w:r>
        <w:t>Le contenu final est ajusté après qualification du contexte, des outils déjà utilisés, des données disponibles et des arbitrages de confidentialité propres au prospect.</w:t>
      </w:r>
    </w:p>
    <w:p>
      <w:pPr>
        <w:pStyle w:val="Heading1"/>
        <w:spacing w:before="200" w:after="60"/>
      </w:pPr>
      <w:r>
        <w:t>TransferAI - Mini catalogue premium Administration &amp; Gestion</w:t>
      </w:r>
    </w:p>
    <w:p>
      <w:pPr>
        <w:spacing w:after="120"/>
      </w:pPr>
      <w:r>
        <w:t>Catalogue ciblé par secteur | Formule prioritaire sur mesure | Édition du 2026-06-12</w:t>
      </w:r>
    </w:p>
    <w:p>
      <w:pPr>
        <w:spacing w:after="120"/>
      </w:pPr>
      <w:r>
        <w:t>Ce document est conçu pour des prospects de même univers métier. Il peut être adapté à une organisation précise après audit IA gratuit et échange expert de qualification.</w:t>
      </w:r>
    </w:p>
    <w:p>
      <w:pPr>
        <w:pStyle w:val="Heading1"/>
        <w:spacing w:before="200" w:after="60"/>
      </w:pPr>
      <w:r>
        <w:t>Fiche sectorielle 08 / 16</w:t>
      </w:r>
    </w:p>
    <w:p>
      <w:pPr>
        <w:pStyle w:val="Heading2"/>
        <w:spacing w:before="120" w:after="60"/>
      </w:pPr>
      <w:r>
        <w:t>Domaine de référence</w:t>
      </w:r>
    </w:p>
    <w:p>
      <w:pPr>
        <w:pStyle w:val="ListBullet"/>
        <w:spacing w:after="40"/>
      </w:pPr>
      <w:r>
        <w:t>Administration &amp; Gestion | Contextes proches : Administration publique ; Administration / Numérique ; Industrie alimentaire ; Audit / Conseil ; Distribution automobile</w:t>
      </w:r>
    </w:p>
    <w:p>
      <w:pPr>
        <w:pStyle w:val="Heading2"/>
        <w:spacing w:before="120" w:after="60"/>
      </w:pPr>
      <w:r>
        <w:t>Enjeux sectoriels</w:t>
      </w:r>
    </w:p>
    <w:p>
      <w:pPr>
        <w:pStyle w:val="ListBullet"/>
        <w:spacing w:after="40"/>
      </w:pPr>
      <w:r>
        <w:t>La valeur ici se voit quand les processus administratifs deviennent plus rapides, plus lisibles et moins dépendants de manipulations manuelles ou de chaînes d’e-mails.</w:t>
      </w:r>
    </w:p>
    <w:p>
      <w:pPr>
        <w:pStyle w:val="ListBullet"/>
        <w:spacing w:after="40"/>
      </w:pPr>
      <w:r>
        <w:t>Tâches répétitives omniprésentes : Courriers, validations, suivis, tableaux et consolidations créent des goulots d’étranglement quotidiens. Les workflows critiques gagnent en fluidité, en cadence et en qualité documentaire.</w:t>
      </w:r>
    </w:p>
    <w:p>
      <w:pPr>
        <w:pStyle w:val="ListBullet"/>
        <w:spacing w:after="40"/>
      </w:pPr>
      <w:r>
        <w:t>Achats et approvisionnements peu lisibles : Les relances, priorités et points de blocage sont difficilement visibles à temps. Les équipes disposent de suivis mieux structurés et de rappels plus cohérents.</w:t>
      </w:r>
    </w:p>
    <w:p>
      <w:pPr>
        <w:pStyle w:val="ListBullet"/>
        <w:spacing w:after="40"/>
      </w:pPr>
      <w:r>
        <w:t>Documents mal classés : Les pièces utiles se cherchent longtemps et les versions circulent sans repère stable. La gestion documentaire devient plus simple, mieux rangée et plus exploitable.</w:t>
      </w:r>
    </w:p>
    <w:p>
      <w:pPr>
        <w:pStyle w:val="ListBullet"/>
        <w:spacing w:after="40"/>
      </w:pPr>
      <w:r>
        <w:t>Pilotage administratif fragile : Les managers disposent de peu de lecture rapide sur les délais, suspens et points de friction. Les indicateurs administratifs gagnent en visibilité et servent davantage à arbitrer.</w:t>
      </w:r>
    </w:p>
    <w:p>
      <w:pPr>
        <w:pStyle w:val="Heading2"/>
        <w:spacing w:before="120" w:after="60"/>
      </w:pPr>
      <w:r>
        <w:t>Contexte secteur à confirmer</w:t>
      </w:r>
    </w:p>
    <w:p>
      <w:pPr>
        <w:pStyle w:val="ListBullet"/>
        <w:spacing w:after="40"/>
      </w:pPr>
      <w:r>
        <w:t>Exemples de contextes proches : Administration publique ; Administration / Numérique ; Industrie alimentaire ; Audit / Conseil ; Distribution automobile.</w:t>
      </w:r>
    </w:p>
    <w:p>
      <w:pPr>
        <w:pStyle w:val="ListBullet"/>
        <w:spacing w:after="40"/>
      </w:pPr>
      <w:r>
        <w:t>Les enjeux confirmés au cadrage doivent être reliés à des priorités visibles pour l’administration et la gestion.</w:t>
      </w:r>
    </w:p>
    <w:p>
      <w:pPr>
        <w:pStyle w:val="ListBullet"/>
        <w:spacing w:after="40"/>
      </w:pPr>
      <w:r>
        <w:t>Le périmètre à confirmer peut concerner un site pilote, une direction donnée, une équipe support ou un processus transverse.</w:t>
      </w:r>
    </w:p>
    <w:p>
      <w:pPr>
        <w:pStyle w:val="ListBullet"/>
        <w:spacing w:after="40"/>
      </w:pPr>
      <w:r>
        <w:t>Les cas d’usage retenus doivent être validés selon les données disponibles, les règles de confidentialité et la capacité de supervision humaine.</w:t>
      </w:r>
    </w:p>
    <w:p>
      <w:pPr>
        <w:pStyle w:val="Heading2"/>
        <w:spacing w:before="120" w:after="60"/>
      </w:pPr>
      <w:r>
        <w:t>Cas d’usage TransferAI mis en avant</w:t>
      </w:r>
    </w:p>
    <w:p>
      <w:pPr>
        <w:pStyle w:val="ListBullet"/>
        <w:spacing w:after="40"/>
      </w:pPr>
      <w:r>
        <w:rPr>
          <w:b/>
        </w:rPr>
        <w:t>Automatisation administrative ciblée</w:t>
      </w:r>
      <w:r>
        <w:t xml:space="preserve"> : Les séquences documentaires et de suivi gagnent en vitesse et en cohérence. KPI de référence : Temps de cycle ; nombre d’étapes manuelles éliminées.</w:t>
      </w:r>
    </w:p>
    <w:p>
      <w:pPr>
        <w:pStyle w:val="ListBullet"/>
        <w:spacing w:after="40"/>
      </w:pPr>
      <w:r>
        <w:rPr>
          <w:b/>
        </w:rPr>
        <w:t>Gestion documentaire intelligente</w:t>
      </w:r>
      <w:r>
        <w:t xml:space="preserve"> : Les documents sont mieux rangés, plus faciles à retrouver et plus simples à exploiter. KPI de référence : Temps de recherche ; qualité de classement.</w:t>
      </w:r>
    </w:p>
    <w:p>
      <w:pPr>
        <w:pStyle w:val="ListBullet"/>
        <w:spacing w:after="40"/>
      </w:pPr>
      <w:r>
        <w:rPr>
          <w:b/>
        </w:rPr>
        <w:t>Achats, stocks et approvisionnements</w:t>
      </w:r>
      <w:r>
        <w:t xml:space="preserve"> : Les équipes lisent mieux les priorités, relances et besoins critiques. KPI de référence : Temps de traitement ; nombre de ruptures ou retards détectés tôt.</w:t>
      </w:r>
    </w:p>
    <w:p>
      <w:pPr>
        <w:pStyle w:val="ListBullet"/>
        <w:spacing w:after="40"/>
      </w:pPr>
      <w:r>
        <w:rPr>
          <w:b/>
        </w:rPr>
        <w:t>Tableaux de bord administratifs</w:t>
      </w:r>
      <w:r>
        <w:t xml:space="preserve"> : Les KPI administratifs sont mieux commentés et plus actionnables. KPI de référence : Temps de reporting ; réactivité de pilotage.</w:t>
      </w:r>
    </w:p>
    <w:p>
      <w:pPr>
        <w:pStyle w:val="Heading1"/>
        <w:spacing w:before="200" w:after="60"/>
      </w:pPr>
      <w:r>
        <w:t>Formule prioritaire recommandée</w:t>
      </w:r>
    </w:p>
    <w:p>
      <w:pPr>
        <w:pStyle w:val="Heading2"/>
        <w:spacing w:before="120" w:after="60"/>
      </w:pPr>
      <w:r>
        <w:t>Intitulé</w:t>
      </w:r>
    </w:p>
    <w:p>
      <w:pPr>
        <w:pStyle w:val="ListBullet"/>
        <w:spacing w:after="40"/>
      </w:pPr>
      <w:r>
        <w:t>Bootcamp IA sectoriel Administration &amp; Gestion : de l’acculturation utile au premier pilote mesurable</w:t>
      </w:r>
    </w:p>
    <w:p>
      <w:pPr>
        <w:pStyle w:val="Heading2"/>
        <w:spacing w:before="120" w:after="60"/>
      </w:pPr>
      <w:r>
        <w:t>Public cible</w:t>
      </w:r>
    </w:p>
    <w:p>
      <w:pPr>
        <w:pStyle w:val="ListBullet"/>
        <w:spacing w:after="40"/>
      </w:pPr>
      <w:r>
        <w:t>Directions administratives, opérations support, back office, coordination multi-sites</w:t>
      </w:r>
    </w:p>
    <w:p>
      <w:pPr>
        <w:pStyle w:val="Heading2"/>
        <w:spacing w:before="120" w:after="60"/>
      </w:pPr>
      <w:r>
        <w:t>Formats possibles</w:t>
      </w:r>
    </w:p>
    <w:p>
      <w:pPr>
        <w:pStyle w:val="ListBullet"/>
        <w:spacing w:after="40"/>
      </w:pPr>
      <w:r>
        <w:t>Présentiel</w:t>
      </w:r>
    </w:p>
    <w:p>
      <w:pPr>
        <w:pStyle w:val="ListBullet"/>
        <w:spacing w:after="40"/>
      </w:pPr>
      <w:r>
        <w:t>Hybride</w:t>
      </w:r>
    </w:p>
    <w:p>
      <w:pPr>
        <w:pStyle w:val="ListBullet"/>
        <w:spacing w:after="40"/>
      </w:pPr>
      <w:r>
        <w:t>En ligne (style webinaire)</w:t>
      </w:r>
    </w:p>
    <w:p>
      <w:pPr>
        <w:pStyle w:val="Heading2"/>
        <w:spacing w:before="120" w:after="60"/>
      </w:pPr>
      <w:r>
        <w:t>Niveaux</w:t>
      </w:r>
    </w:p>
    <w:p>
      <w:pPr>
        <w:pStyle w:val="ListBullet"/>
        <w:spacing w:after="40"/>
      </w:pPr>
      <w:r>
        <w:t>Débutant</w:t>
      </w:r>
    </w:p>
    <w:p>
      <w:pPr>
        <w:pStyle w:val="ListBullet"/>
        <w:spacing w:after="40"/>
      </w:pPr>
      <w:r>
        <w:t>Intermédiaire</w:t>
      </w:r>
    </w:p>
    <w:p>
      <w:pPr>
        <w:pStyle w:val="ListBullet"/>
        <w:spacing w:after="40"/>
      </w:pPr>
      <w:r>
        <w:t>Avancé</w:t>
      </w:r>
    </w:p>
    <w:p>
      <w:pPr>
        <w:pStyle w:val="Heading2"/>
        <w:spacing w:before="120" w:after="60"/>
      </w:pPr>
      <w:r>
        <w:t>Durée</w:t>
      </w:r>
    </w:p>
    <w:p>
      <w:pPr>
        <w:pStyle w:val="ListBullet"/>
        <w:spacing w:after="40"/>
      </w:pPr>
      <w:r>
        <w:t>1 jour : version décideurs et managers</w:t>
      </w:r>
    </w:p>
    <w:p>
      <w:pPr>
        <w:pStyle w:val="ListBullet"/>
        <w:spacing w:after="40"/>
      </w:pPr>
      <w:r>
        <w:t>2 jours : version équipes, managers et mise en pratique</w:t>
      </w:r>
    </w:p>
    <w:p>
      <w:pPr>
        <w:pStyle w:val="Heading2"/>
        <w:spacing w:before="120" w:after="60"/>
      </w:pPr>
      <w:r>
        <w:t>Tarif</w:t>
      </w:r>
    </w:p>
    <w:p>
      <w:pPr>
        <w:pStyle w:val="ListBullet"/>
        <w:spacing w:after="40"/>
      </w:pPr>
      <w:r>
        <w:t>Prix sur demande</w:t>
      </w:r>
    </w:p>
    <w:p>
      <w:pPr>
        <w:pStyle w:val="Heading2"/>
        <w:spacing w:before="120" w:after="60"/>
      </w:pPr>
      <w:r>
        <w:t>Résultats attendus</w:t>
      </w:r>
    </w:p>
    <w:p>
      <w:pPr>
        <w:pStyle w:val="ListBullet"/>
        <w:spacing w:after="40"/>
      </w:pPr>
      <w:r>
        <w:t>25 à 45 % sur le temps administratif (saisie, suivi, relance, synthèse).</w:t>
      </w:r>
    </w:p>
    <w:p>
      <w:pPr>
        <w:pStyle w:val="ListBullet"/>
        <w:spacing w:after="40"/>
      </w:pPr>
      <w:r>
        <w:t>Plus de traçabilité sur les processus (validation, dossier, archivage).</w:t>
      </w:r>
    </w:p>
    <w:p>
      <w:pPr>
        <w:pStyle w:val="ListBullet"/>
        <w:spacing w:after="40"/>
      </w:pPr>
      <w:r>
        <w:t>Meilleure coordination entre équipes (achats, opérations, administration).</w:t>
      </w:r>
    </w:p>
    <w:p>
      <w:pPr>
        <w:pStyle w:val="ListBullet"/>
        <w:spacing w:after="40"/>
      </w:pPr>
      <w:r>
        <w:t>Lecture plus claire pour les managers (délais, suspens, points critiques).</w:t>
      </w:r>
    </w:p>
    <w:p>
      <w:pPr>
        <w:pStyle w:val="ListBullet"/>
        <w:spacing w:after="40"/>
      </w:pPr>
      <w:r>
        <w:t>Une feuille de route claire sur les deux premiers cas d’usage à lancer dans l’administration et la gestion.</w:t>
      </w:r>
    </w:p>
    <w:p>
      <w:pPr>
        <w:pStyle w:val="ListBullet"/>
        <w:spacing w:after="40"/>
      </w:pPr>
      <w:r>
        <w:t>Une meilleure capacité à relier formation, gouvernance, pilote et retour sur investissement visible.</w:t>
      </w:r>
    </w:p>
    <w:p>
      <w:pPr>
        <w:pStyle w:val="Heading2"/>
        <w:spacing w:before="120" w:after="60"/>
      </w:pPr>
      <w:r>
        <w:t>Objectifs pédagogiques</w:t>
      </w:r>
    </w:p>
    <w:p>
      <w:pPr>
        <w:pStyle w:val="ListBullet"/>
        <w:spacing w:after="40"/>
      </w:pPr>
      <w:r>
        <w:t>Identifier les priorités métier les plus crédibles à traiter par l’IA dans l’administration et la gestion.</w:t>
      </w:r>
    </w:p>
    <w:p>
      <w:pPr>
        <w:pStyle w:val="ListBullet"/>
        <w:spacing w:after="40"/>
      </w:pPr>
      <w:r>
        <w:t>Savoir structurer et piloter le cas d’usage « Automatisation administrative ciblée ».</w:t>
      </w:r>
    </w:p>
    <w:p>
      <w:pPr>
        <w:pStyle w:val="ListBullet"/>
        <w:spacing w:after="40"/>
      </w:pPr>
      <w:r>
        <w:t>Savoir structurer et piloter le cas d’usage « Gestion documentaire intelligente ».</w:t>
      </w:r>
    </w:p>
    <w:p>
      <w:pPr>
        <w:pStyle w:val="ListBullet"/>
        <w:spacing w:after="40"/>
      </w:pPr>
      <w:r>
        <w:t>Savoir structurer et piloter le cas d’usage « Achats, stocks et approvisionnements ».</w:t>
      </w:r>
    </w:p>
    <w:p>
      <w:pPr>
        <w:pStyle w:val="ListBullet"/>
        <w:spacing w:after="40"/>
      </w:pPr>
      <w:r>
        <w:t>Distinguer les usages immédiatement activables, les usages à encadrer et les usages à piloter dans le temps.</w:t>
      </w:r>
    </w:p>
    <w:p>
      <w:pPr>
        <w:pStyle w:val="ListBullet"/>
        <w:spacing w:after="40"/>
      </w:pPr>
      <w:r>
        <w:t>Définir des KPI simples, un cadre de confiance et un premier plan d’action à 90 jours.</w:t>
      </w:r>
    </w:p>
    <w:p>
      <w:pPr>
        <w:pStyle w:val="Heading2"/>
        <w:spacing w:before="120" w:after="60"/>
      </w:pPr>
      <w:r>
        <w:t>Programme</w:t>
      </w:r>
    </w:p>
    <w:p>
      <w:pPr>
        <w:pStyle w:val="Heading3"/>
        <w:spacing w:before="120" w:after="60"/>
      </w:pPr>
      <w:r>
        <w:t>Jour 1</w:t>
      </w:r>
    </w:p>
    <w:p>
      <w:pPr>
        <w:pStyle w:val="ListBullet"/>
        <w:spacing w:after="40"/>
      </w:pPr>
      <w:r>
        <w:t>Lecture des enjeux sectoriels : La valeur ici se voit quand les processus administratifs deviennent plus rapides, plus lisibles et moins dépendants de manipulations manuelles ou de chaînes d’e-mails.</w:t>
      </w:r>
    </w:p>
    <w:p>
      <w:pPr>
        <w:pStyle w:val="ListBullet"/>
        <w:spacing w:after="40"/>
      </w:pPr>
      <w:r>
        <w:t>Cartographie des priorités métier confirmées : Tâches répétitives omniprésentes ; Achats et approvisionnements peu lisibles ; Documents mal classés.</w:t>
      </w:r>
    </w:p>
    <w:p>
      <w:pPr>
        <w:pStyle w:val="ListBullet"/>
        <w:spacing w:after="40"/>
      </w:pPr>
      <w:r>
        <w:t>Études de cas guidées autour de « Automatisation administrative ciblée » et « Gestion documentaire intelligente ».</w:t>
      </w:r>
    </w:p>
    <w:p>
      <w:pPr>
        <w:pStyle w:val="ListBullet"/>
        <w:spacing w:after="40"/>
      </w:pPr>
      <w:r>
        <w:t>Méthodes, outils et gestes professionnels à partir des ancrages pédagogiques suivants : Automatisation Administrative avec l’IA ; Gestion Documentaire Intelligente ; Planification et Suivi des Indicateurs avec l’IA.</w:t>
      </w:r>
    </w:p>
    <w:p>
      <w:pPr>
        <w:pStyle w:val="ListBullet"/>
        <w:spacing w:after="40"/>
      </w:pPr>
      <w:r>
        <w:t>Cadre de confiance : confidentialité, supervision humaine, validation managériale et critères d’extension.</w:t>
      </w:r>
    </w:p>
    <w:p>
      <w:pPr>
        <w:pStyle w:val="Heading3"/>
        <w:spacing w:before="120" w:after="60"/>
      </w:pPr>
      <w:r>
        <w:t>Jour 2</w:t>
      </w:r>
    </w:p>
    <w:p>
      <w:pPr>
        <w:pStyle w:val="ListBullet"/>
        <w:spacing w:after="40"/>
      </w:pPr>
      <w:r>
        <w:t>Cette journée s’active lorsque la formule 2 jours est retenue.</w:t>
      </w:r>
    </w:p>
    <w:p>
      <w:pPr>
        <w:pStyle w:val="ListBullet"/>
        <w:spacing w:after="40"/>
      </w:pPr>
      <w:r>
        <w:t>Ateliers de conception sur « Achats, stocks et approvisionnements » et « Tableaux de bord administratifs ».</w:t>
      </w:r>
    </w:p>
    <w:p>
      <w:pPr>
        <w:pStyle w:val="ListBullet"/>
        <w:spacing w:after="40"/>
      </w:pPr>
      <w:r>
        <w:t>Construction de prompts, trames, routines et scénarios d’usage adaptés au terrain.</w:t>
      </w:r>
    </w:p>
    <w:p>
      <w:pPr>
        <w:pStyle w:val="ListBullet"/>
        <w:spacing w:after="40"/>
      </w:pPr>
      <w:r>
        <w:t>Approfondissements recommandés : Gestion des Achats et Approvisionnement IA ; Optimisation des Processus Métier avec l’IA ; Tableaux de Bord Administratifs avec l’IA.</w:t>
      </w:r>
    </w:p>
    <w:p>
      <w:pPr>
        <w:pStyle w:val="ListBullet"/>
        <w:spacing w:after="40"/>
      </w:pPr>
      <w:r>
        <w:t>Définition du premier pilote, des livrables attendus et des KPI de suivi.</w:t>
      </w:r>
    </w:p>
    <w:p>
      <w:pPr>
        <w:pStyle w:val="ListBullet"/>
        <w:spacing w:after="40"/>
      </w:pPr>
      <w:r>
        <w:t>Plan d’action à 90 jours : séquencement, populations à former, gouvernance et arbitrages de déploiement.</w:t>
      </w:r>
    </w:p>
    <w:p>
      <w:pPr>
        <w:pStyle w:val="Heading2"/>
        <w:spacing w:before="120" w:after="60"/>
      </w:pPr>
      <w:r>
        <w:t>Livrables / attendus</w:t>
      </w:r>
    </w:p>
    <w:p>
      <w:pPr>
        <w:pStyle w:val="ListBullet"/>
        <w:spacing w:after="40"/>
      </w:pPr>
      <w:r>
        <w:t>Une note de cadrage sectorielle pour l’administration et la gestion avec priorités confirmées, risques et premières décisions.</w:t>
      </w:r>
    </w:p>
    <w:p>
      <w:pPr>
        <w:pStyle w:val="ListBullet"/>
        <w:spacing w:after="40"/>
      </w:pPr>
      <w:r>
        <w:t>Une matrice des cas d’usage prioritaires incluant « Automatisation administrative ciblée » ; « Gestion documentaire intelligente » ; « Achats, stocks et approvisionnements » ; « Tableaux de bord administratifs ».</w:t>
      </w:r>
    </w:p>
    <w:p>
      <w:pPr>
        <w:pStyle w:val="ListBullet"/>
        <w:spacing w:after="40"/>
      </w:pPr>
      <w:r>
        <w:t>Un canevas de pilote à 90 jours avec KPI, rôles, supervision et critères de succès.</w:t>
      </w:r>
    </w:p>
    <w:p>
      <w:pPr>
        <w:pStyle w:val="ListBullet"/>
        <w:spacing w:after="40"/>
      </w:pPr>
      <w:r>
        <w:t>Une recommandation de parcours de montée en compétences à partir de : Automatisation Administrative avec l’IA ; Gestion Documentaire Intelligente ; Planification et Suivi des Indicateurs avec l’IA ; Gestion des Achats et Approvisionnement IA.</w:t>
      </w:r>
    </w:p>
    <w:p>
      <w:pPr>
        <w:pStyle w:val="Heading2"/>
        <w:spacing w:before="120" w:after="60"/>
      </w:pPr>
      <w:r>
        <w:t>Ancrages pédagogiques recommandés</w:t>
      </w:r>
    </w:p>
    <w:p>
      <w:pPr>
        <w:pStyle w:val="ListBullet"/>
        <w:spacing w:after="40"/>
      </w:pPr>
      <w:r>
        <w:t>Automatisation Administrative avec l’IA</w:t>
      </w:r>
    </w:p>
    <w:p>
      <w:pPr>
        <w:pStyle w:val="ListBullet"/>
        <w:spacing w:after="40"/>
      </w:pPr>
      <w:r>
        <w:t>Gestion Documentaire Intelligente</w:t>
      </w:r>
    </w:p>
    <w:p>
      <w:pPr>
        <w:pStyle w:val="ListBullet"/>
        <w:spacing w:after="40"/>
      </w:pPr>
      <w:r>
        <w:t>Planification et Suivi des Indicateurs avec l’IA</w:t>
      </w:r>
    </w:p>
    <w:p>
      <w:pPr>
        <w:pStyle w:val="ListBullet"/>
        <w:spacing w:after="40"/>
      </w:pPr>
      <w:r>
        <w:t>Gestion des Achats et Approvisionnement IA</w:t>
      </w:r>
    </w:p>
    <w:p>
      <w:pPr>
        <w:pStyle w:val="ListBullet"/>
        <w:spacing w:after="40"/>
      </w:pPr>
      <w:r>
        <w:t>Optimisation des Processus Métier avec l’IA</w:t>
      </w:r>
    </w:p>
    <w:p>
      <w:pPr>
        <w:pStyle w:val="ListBullet"/>
        <w:spacing w:after="40"/>
      </w:pPr>
      <w:r>
        <w:t>Tableaux de Bord Administratifs avec l’IA</w:t>
      </w:r>
    </w:p>
    <w:p>
      <w:pPr>
        <w:pStyle w:val="Heading2"/>
        <w:spacing w:before="120" w:after="60"/>
      </w:pPr>
      <w:r>
        <w:t>Mention de personnalisation</w:t>
      </w:r>
    </w:p>
    <w:p>
      <w:pPr>
        <w:pStyle w:val="ListBullet"/>
        <w:spacing w:after="40"/>
      </w:pPr>
      <w:r>
        <w:t>Le contenu final est ajusté après qualification du contexte, des outils déjà utilisés, des données disponibles et des arbitrages de confidentialité propres au prospect.</w:t>
      </w:r>
    </w:p>
    <w:p>
      <w:pPr>
        <w:pStyle w:val="Heading1"/>
        <w:spacing w:before="200" w:after="60"/>
      </w:pPr>
      <w:r>
        <w:t>TransferAI - Mini catalogue premium Management &amp; Leadership</w:t>
      </w:r>
    </w:p>
    <w:p>
      <w:pPr>
        <w:spacing w:after="120"/>
      </w:pPr>
      <w:r>
        <w:t>Catalogue ciblé par secteur | Formule prioritaire sur mesure | Édition du 2026-06-12</w:t>
      </w:r>
    </w:p>
    <w:p>
      <w:pPr>
        <w:spacing w:after="120"/>
      </w:pPr>
      <w:r>
        <w:t>Ce document est conçu pour des prospects de même univers métier. Il peut être adapté à une organisation précise après audit IA gratuit et échange expert de qualification.</w:t>
      </w:r>
    </w:p>
    <w:p>
      <w:pPr>
        <w:pStyle w:val="Heading1"/>
        <w:spacing w:before="200" w:after="60"/>
      </w:pPr>
      <w:r>
        <w:t>Fiche sectorielle 09 / 16</w:t>
      </w:r>
    </w:p>
    <w:p>
      <w:pPr>
        <w:pStyle w:val="Heading2"/>
        <w:spacing w:before="120" w:after="60"/>
      </w:pPr>
      <w:r>
        <w:t>Domaine de référence</w:t>
      </w:r>
    </w:p>
    <w:p>
      <w:pPr>
        <w:pStyle w:val="ListBullet"/>
        <w:spacing w:after="40"/>
      </w:pPr>
      <w:r>
        <w:t>Management &amp; Leadership | Contextes proches : Banque / Finance ; Télécommunications ; Assurance ; Agro-industrie / Cacao ; Institution régionale</w:t>
      </w:r>
    </w:p>
    <w:p>
      <w:pPr>
        <w:pStyle w:val="Heading2"/>
        <w:spacing w:before="120" w:after="60"/>
      </w:pPr>
      <w:r>
        <w:t>Enjeux sectoriels</w:t>
      </w:r>
    </w:p>
    <w:p>
      <w:pPr>
        <w:pStyle w:val="ListBullet"/>
        <w:spacing w:after="40"/>
      </w:pPr>
      <w:r>
        <w:t>Le point central ici n’est pas la technologie seule. C’est la capacité du management à choisir les bons terrains, à cadrer les usages et à transformer l’intention en exécution.</w:t>
      </w:r>
    </w:p>
    <w:p>
      <w:pPr>
        <w:pStyle w:val="ListBullet"/>
        <w:spacing w:after="40"/>
      </w:pPr>
      <w:r>
        <w:t>Décideurs exposés mais peu outillés : Les dirigeants voient l’IA partout sans toujours disposer d’une grille claire pour arbitrer. La direction gagne un cadre de lecture concret : priorités, risques, équipes, gouvernance et séquencement.</w:t>
      </w:r>
    </w:p>
    <w:p>
      <w:pPr>
        <w:pStyle w:val="ListBullet"/>
        <w:spacing w:after="40"/>
      </w:pPr>
      <w:r>
        <w:t>Transformation mal ordonnée : Les idées d’usage se multiplient mais sans ordre clair entre quick wins, pilotes et chantiers plus lourds. Les sponsors hiérarchisent mieux les décisions et évitent la dispersion.</w:t>
      </w:r>
    </w:p>
    <w:p>
      <w:pPr>
        <w:pStyle w:val="ListBullet"/>
        <w:spacing w:after="40"/>
      </w:pPr>
      <w:r>
        <w:t>Culture et conduite du changement insuffisantes : Les équipes oscillent entre peur, surpromesse et expérimentations isolées. Le discours managérial devient plus crédible, plus rassurant et plus orienté résultat.</w:t>
      </w:r>
    </w:p>
    <w:p>
      <w:pPr>
        <w:pStyle w:val="ListBullet"/>
        <w:spacing w:after="40"/>
      </w:pPr>
      <w:r>
        <w:t>Peu de lecture des KPI d’adoption : Les projets avancent sans véritable mesure de l’usage réel ni des gains observables. Les décideurs relisent plus tôt les premiers signaux pour ajuster la suite.</w:t>
      </w:r>
    </w:p>
    <w:p>
      <w:pPr>
        <w:pStyle w:val="Heading2"/>
        <w:spacing w:before="120" w:after="60"/>
      </w:pPr>
      <w:r>
        <w:t>Contexte secteur à confirmer</w:t>
      </w:r>
    </w:p>
    <w:p>
      <w:pPr>
        <w:pStyle w:val="ListBullet"/>
        <w:spacing w:after="40"/>
      </w:pPr>
      <w:r>
        <w:t>Exemples de contextes proches : Banque / Finance ; Télécommunications ; Assurance ; Agro-industrie / Cacao ; Institution régionale.</w:t>
      </w:r>
    </w:p>
    <w:p>
      <w:pPr>
        <w:pStyle w:val="ListBullet"/>
        <w:spacing w:after="40"/>
      </w:pPr>
      <w:r>
        <w:t>Les enjeux confirmés au cadrage doivent être reliés à des priorités visibles pour le management et le leadership.</w:t>
      </w:r>
    </w:p>
    <w:p>
      <w:pPr>
        <w:pStyle w:val="ListBullet"/>
        <w:spacing w:after="40"/>
      </w:pPr>
      <w:r>
        <w:t>Le périmètre à confirmer peut concerner un site pilote, une direction donnée, une équipe support ou un processus transverse.</w:t>
      </w:r>
    </w:p>
    <w:p>
      <w:pPr>
        <w:pStyle w:val="ListBullet"/>
        <w:spacing w:after="40"/>
      </w:pPr>
      <w:r>
        <w:t>Les cas d’usage retenus doivent être validés selon les données disponibles, les règles de confidentialité et la capacité de supervision humaine.</w:t>
      </w:r>
    </w:p>
    <w:p>
      <w:pPr>
        <w:pStyle w:val="Heading2"/>
        <w:spacing w:before="120" w:after="60"/>
      </w:pPr>
      <w:r>
        <w:t>Cas d’usage TransferAI mis en avant</w:t>
      </w:r>
    </w:p>
    <w:p>
      <w:pPr>
        <w:pStyle w:val="ListBullet"/>
        <w:spacing w:after="40"/>
      </w:pPr>
      <w:r>
        <w:rPr>
          <w:b/>
        </w:rPr>
        <w:t>Briefing dirigeant et grille d’arbitrage</w:t>
      </w:r>
      <w:r>
        <w:t xml:space="preserve"> : Les sponsors disposent d’une grille de décision plus concrète pour choisir où démarrer et comment gouverner. KPI de référence : Délai de décision ; nombre de priorités clarifiées.</w:t>
      </w:r>
    </w:p>
    <w:p>
      <w:pPr>
        <w:pStyle w:val="ListBullet"/>
        <w:spacing w:after="40"/>
      </w:pPr>
      <w:r>
        <w:rPr>
          <w:b/>
        </w:rPr>
        <w:t>Conduite du changement et culture IA</w:t>
      </w:r>
      <w:r>
        <w:t xml:space="preserve"> : Le management pose un langage commun, des règles simples et des gestes utiles. KPI de référence : Taux de participation ; niveau d’adhésion des managers.</w:t>
      </w:r>
    </w:p>
    <w:p>
      <w:pPr>
        <w:pStyle w:val="ListBullet"/>
        <w:spacing w:after="40"/>
      </w:pPr>
      <w:r>
        <w:rPr>
          <w:b/>
        </w:rPr>
        <w:t>Leadership data-driven</w:t>
      </w:r>
      <w:r>
        <w:t xml:space="preserve"> : Les décisions s’appuient davantage sur des synthèses et commentaires plus actionnables. KPI de référence : Temps de lecture des KPI ; délai avant arbitrage.</w:t>
      </w:r>
    </w:p>
    <w:p>
      <w:pPr>
        <w:pStyle w:val="ListBullet"/>
        <w:spacing w:after="40"/>
      </w:pPr>
      <w:r>
        <w:rPr>
          <w:b/>
        </w:rPr>
        <w:t>Planification stratégique assistée</w:t>
      </w:r>
      <w:r>
        <w:t xml:space="preserve"> : Les hypothèses, scénarios et plans d’action se structurent plus vite pour faciliter la décision. KPI de référence : Temps de préparation stratégique ; nombre de scénarios comparés.</w:t>
      </w:r>
    </w:p>
    <w:p>
      <w:pPr>
        <w:pStyle w:val="Heading1"/>
        <w:spacing w:before="200" w:after="60"/>
      </w:pPr>
      <w:r>
        <w:t>Formule prioritaire recommandée</w:t>
      </w:r>
    </w:p>
    <w:p>
      <w:pPr>
        <w:pStyle w:val="Heading2"/>
        <w:spacing w:before="120" w:after="60"/>
      </w:pPr>
      <w:r>
        <w:t>Intitulé</w:t>
      </w:r>
    </w:p>
    <w:p>
      <w:pPr>
        <w:pStyle w:val="ListBullet"/>
        <w:spacing w:after="40"/>
      </w:pPr>
      <w:r>
        <w:t>Bootcamp IA sectoriel Management &amp; Leadership : de l’acculturation utile au premier pilote mesurable</w:t>
      </w:r>
    </w:p>
    <w:p>
      <w:pPr>
        <w:pStyle w:val="Heading2"/>
        <w:spacing w:before="120" w:after="60"/>
      </w:pPr>
      <w:r>
        <w:t>Public cible</w:t>
      </w:r>
    </w:p>
    <w:p>
      <w:pPr>
        <w:pStyle w:val="ListBullet"/>
        <w:spacing w:after="40"/>
      </w:pPr>
      <w:r>
        <w:t>Comités de direction, top management, managers de BU, responsables de transformation</w:t>
      </w:r>
    </w:p>
    <w:p>
      <w:pPr>
        <w:pStyle w:val="Heading2"/>
        <w:spacing w:before="120" w:after="60"/>
      </w:pPr>
      <w:r>
        <w:t>Formats possibles</w:t>
      </w:r>
    </w:p>
    <w:p>
      <w:pPr>
        <w:pStyle w:val="ListBullet"/>
        <w:spacing w:after="40"/>
      </w:pPr>
      <w:r>
        <w:t>Présentiel</w:t>
      </w:r>
    </w:p>
    <w:p>
      <w:pPr>
        <w:pStyle w:val="ListBullet"/>
        <w:spacing w:after="40"/>
      </w:pPr>
      <w:r>
        <w:t>Hybride</w:t>
      </w:r>
    </w:p>
    <w:p>
      <w:pPr>
        <w:pStyle w:val="ListBullet"/>
        <w:spacing w:after="40"/>
      </w:pPr>
      <w:r>
        <w:t>En ligne (style webinaire)</w:t>
      </w:r>
    </w:p>
    <w:p>
      <w:pPr>
        <w:pStyle w:val="Heading2"/>
        <w:spacing w:before="120" w:after="60"/>
      </w:pPr>
      <w:r>
        <w:t>Niveaux</w:t>
      </w:r>
    </w:p>
    <w:p>
      <w:pPr>
        <w:pStyle w:val="ListBullet"/>
        <w:spacing w:after="40"/>
      </w:pPr>
      <w:r>
        <w:t>Débutant</w:t>
      </w:r>
    </w:p>
    <w:p>
      <w:pPr>
        <w:pStyle w:val="ListBullet"/>
        <w:spacing w:after="40"/>
      </w:pPr>
      <w:r>
        <w:t>Intermédiaire</w:t>
      </w:r>
    </w:p>
    <w:p>
      <w:pPr>
        <w:pStyle w:val="ListBullet"/>
        <w:spacing w:after="40"/>
      </w:pPr>
      <w:r>
        <w:t>Avancé</w:t>
      </w:r>
    </w:p>
    <w:p>
      <w:pPr>
        <w:pStyle w:val="Heading2"/>
        <w:spacing w:before="120" w:after="60"/>
      </w:pPr>
      <w:r>
        <w:t>Durée</w:t>
      </w:r>
    </w:p>
    <w:p>
      <w:pPr>
        <w:pStyle w:val="ListBullet"/>
        <w:spacing w:after="40"/>
      </w:pPr>
      <w:r>
        <w:t>1 jour : version décideurs et managers</w:t>
      </w:r>
    </w:p>
    <w:p>
      <w:pPr>
        <w:pStyle w:val="ListBullet"/>
        <w:spacing w:after="40"/>
      </w:pPr>
      <w:r>
        <w:t>2 jours : version équipes, managers et mise en pratique</w:t>
      </w:r>
    </w:p>
    <w:p>
      <w:pPr>
        <w:pStyle w:val="Heading2"/>
        <w:spacing w:before="120" w:after="60"/>
      </w:pPr>
      <w:r>
        <w:t>Tarif</w:t>
      </w:r>
    </w:p>
    <w:p>
      <w:pPr>
        <w:pStyle w:val="ListBullet"/>
        <w:spacing w:after="40"/>
      </w:pPr>
      <w:r>
        <w:t>Prix sur demande</w:t>
      </w:r>
    </w:p>
    <w:p>
      <w:pPr>
        <w:pStyle w:val="Heading2"/>
        <w:spacing w:before="120" w:after="60"/>
      </w:pPr>
      <w:r>
        <w:t>Résultats attendus</w:t>
      </w:r>
    </w:p>
    <w:p>
      <w:pPr>
        <w:pStyle w:val="ListBullet"/>
        <w:spacing w:after="40"/>
      </w:pPr>
      <w:r>
        <w:t>Décisions plus rapides sur les priorités IA (moins de dispersion, plus d’ordre).</w:t>
      </w:r>
    </w:p>
    <w:p>
      <w:pPr>
        <w:pStyle w:val="ListBullet"/>
        <w:spacing w:after="40"/>
      </w:pPr>
      <w:r>
        <w:t>Adoption mieux pilotée sur les équipes (cadre, gouvernance, séquencement).</w:t>
      </w:r>
    </w:p>
    <w:p>
      <w:pPr>
        <w:pStyle w:val="ListBullet"/>
        <w:spacing w:after="40"/>
      </w:pPr>
      <w:r>
        <w:t>Moins de risque projet sur les premiers pilotes (règles, rôles, validation).</w:t>
      </w:r>
    </w:p>
    <w:p>
      <w:pPr>
        <w:pStyle w:val="ListBullet"/>
        <w:spacing w:after="40"/>
      </w:pPr>
      <w:r>
        <w:t>Lecture plus nette des premiers KPI (usage réel, valeur, extension).</w:t>
      </w:r>
    </w:p>
    <w:p>
      <w:pPr>
        <w:pStyle w:val="ListBullet"/>
        <w:spacing w:after="40"/>
      </w:pPr>
      <w:r>
        <w:t>Une feuille de route claire sur les deux premiers cas d’usage à lancer dans le management et le leadership.</w:t>
      </w:r>
    </w:p>
    <w:p>
      <w:pPr>
        <w:pStyle w:val="ListBullet"/>
        <w:spacing w:after="40"/>
      </w:pPr>
      <w:r>
        <w:t>Une meilleure capacité à relier formation, gouvernance, pilote et retour sur investissement visible.</w:t>
      </w:r>
    </w:p>
    <w:p>
      <w:pPr>
        <w:pStyle w:val="Heading2"/>
        <w:spacing w:before="120" w:after="60"/>
      </w:pPr>
      <w:r>
        <w:t>Objectifs pédagogiques</w:t>
      </w:r>
    </w:p>
    <w:p>
      <w:pPr>
        <w:pStyle w:val="ListBullet"/>
        <w:spacing w:after="40"/>
      </w:pPr>
      <w:r>
        <w:t>Identifier les priorités métier les plus crédibles à traiter par l’IA dans le management et le leadership.</w:t>
      </w:r>
    </w:p>
    <w:p>
      <w:pPr>
        <w:pStyle w:val="ListBullet"/>
        <w:spacing w:after="40"/>
      </w:pPr>
      <w:r>
        <w:t>Savoir structurer et piloter le cas d’usage « Briefing dirigeant et grille d’arbitrage ».</w:t>
      </w:r>
    </w:p>
    <w:p>
      <w:pPr>
        <w:pStyle w:val="ListBullet"/>
        <w:spacing w:after="40"/>
      </w:pPr>
      <w:r>
        <w:t>Savoir structurer et piloter le cas d’usage « Conduite du changement et culture IA ».</w:t>
      </w:r>
    </w:p>
    <w:p>
      <w:pPr>
        <w:pStyle w:val="ListBullet"/>
        <w:spacing w:after="40"/>
      </w:pPr>
      <w:r>
        <w:t>Savoir structurer et piloter le cas d’usage « Leadership data-driven ».</w:t>
      </w:r>
    </w:p>
    <w:p>
      <w:pPr>
        <w:pStyle w:val="ListBullet"/>
        <w:spacing w:after="40"/>
      </w:pPr>
      <w:r>
        <w:t>Distinguer les usages immédiatement activables, les usages à encadrer et les usages à piloter dans le temps.</w:t>
      </w:r>
    </w:p>
    <w:p>
      <w:pPr>
        <w:pStyle w:val="ListBullet"/>
        <w:spacing w:after="40"/>
      </w:pPr>
      <w:r>
        <w:t>Définir des KPI simples, un cadre de confiance et un premier plan d’action à 90 jours.</w:t>
      </w:r>
    </w:p>
    <w:p>
      <w:pPr>
        <w:pStyle w:val="Heading2"/>
        <w:spacing w:before="120" w:after="60"/>
      </w:pPr>
      <w:r>
        <w:t>Programme</w:t>
      </w:r>
    </w:p>
    <w:p>
      <w:pPr>
        <w:pStyle w:val="Heading3"/>
        <w:spacing w:before="120" w:after="60"/>
      </w:pPr>
      <w:r>
        <w:t>Jour 1</w:t>
      </w:r>
    </w:p>
    <w:p>
      <w:pPr>
        <w:pStyle w:val="ListBullet"/>
        <w:spacing w:after="40"/>
      </w:pPr>
      <w:r>
        <w:t>Lecture des enjeux sectoriels : Le point central ici n’est pas la technologie seule. C’est la capacité du management à choisir les bons terrains, à cadrer les usages et à transformer l’intention en exécution.</w:t>
      </w:r>
    </w:p>
    <w:p>
      <w:pPr>
        <w:pStyle w:val="ListBullet"/>
        <w:spacing w:after="40"/>
      </w:pPr>
      <w:r>
        <w:t>Cartographie des priorités métier confirmées : Décideurs exposés mais peu outillés ; Transformation mal ordonnée ; Culture et conduite du changement insuffisantes.</w:t>
      </w:r>
    </w:p>
    <w:p>
      <w:pPr>
        <w:pStyle w:val="ListBullet"/>
        <w:spacing w:after="40"/>
      </w:pPr>
      <w:r>
        <w:t>Études de cas guidées autour de « Briefing dirigeant et grille d’arbitrage » et « Conduite du changement et culture IA ».</w:t>
      </w:r>
    </w:p>
    <w:p>
      <w:pPr>
        <w:pStyle w:val="ListBullet"/>
        <w:spacing w:after="40"/>
      </w:pPr>
      <w:r>
        <w:t>Méthodes, outils et gestes professionnels à partir des ancrages pédagogiques suivants : IA pour Dirigeants : Vision et Stratégie ; Prise de Décision Stratégique avec l’IA ; Leadership Data-Driven avec l’IA.</w:t>
      </w:r>
    </w:p>
    <w:p>
      <w:pPr>
        <w:pStyle w:val="ListBullet"/>
        <w:spacing w:after="40"/>
      </w:pPr>
      <w:r>
        <w:t>Cadre de confiance : confidentialité, supervision humaine, validation managériale et critères d’extension.</w:t>
      </w:r>
    </w:p>
    <w:p>
      <w:pPr>
        <w:pStyle w:val="Heading3"/>
        <w:spacing w:before="120" w:after="60"/>
      </w:pPr>
      <w:r>
        <w:t>Jour 2</w:t>
      </w:r>
    </w:p>
    <w:p>
      <w:pPr>
        <w:pStyle w:val="ListBullet"/>
        <w:spacing w:after="40"/>
      </w:pPr>
      <w:r>
        <w:t>Cette journée s’active lorsque la formule 2 jours est retenue.</w:t>
      </w:r>
    </w:p>
    <w:p>
      <w:pPr>
        <w:pStyle w:val="ListBullet"/>
        <w:spacing w:after="40"/>
      </w:pPr>
      <w:r>
        <w:t>Ateliers de conception sur « Leadership data-driven » et « Planification stratégique assistée ».</w:t>
      </w:r>
    </w:p>
    <w:p>
      <w:pPr>
        <w:pStyle w:val="ListBullet"/>
        <w:spacing w:after="40"/>
      </w:pPr>
      <w:r>
        <w:t>Construction de prompts, trames, routines et scénarios d’usage adaptés au terrain.</w:t>
      </w:r>
    </w:p>
    <w:p>
      <w:pPr>
        <w:pStyle w:val="ListBullet"/>
        <w:spacing w:after="40"/>
      </w:pPr>
      <w:r>
        <w:t>Approfondissements recommandés : Conduite du Changement IA en Entreprise ; Planification Stratégique Assistée par l’IA ; Culture IA : Transformer les Mentalités.</w:t>
      </w:r>
    </w:p>
    <w:p>
      <w:pPr>
        <w:pStyle w:val="ListBullet"/>
        <w:spacing w:after="40"/>
      </w:pPr>
      <w:r>
        <w:t>Définition du premier pilote, des livrables attendus et des KPI de suivi.</w:t>
      </w:r>
    </w:p>
    <w:p>
      <w:pPr>
        <w:pStyle w:val="ListBullet"/>
        <w:spacing w:after="40"/>
      </w:pPr>
      <w:r>
        <w:t>Plan d’action à 90 jours : séquencement, populations à former, gouvernance et arbitrages de déploiement.</w:t>
      </w:r>
    </w:p>
    <w:p>
      <w:pPr>
        <w:pStyle w:val="Heading2"/>
        <w:spacing w:before="120" w:after="60"/>
      </w:pPr>
      <w:r>
        <w:t>Livrables / attendus</w:t>
      </w:r>
    </w:p>
    <w:p>
      <w:pPr>
        <w:pStyle w:val="ListBullet"/>
        <w:spacing w:after="40"/>
      </w:pPr>
      <w:r>
        <w:t>Une note de cadrage sectorielle pour le management et le leadership avec priorités confirmées, risques et premières décisions.</w:t>
      </w:r>
    </w:p>
    <w:p>
      <w:pPr>
        <w:pStyle w:val="ListBullet"/>
        <w:spacing w:after="40"/>
      </w:pPr>
      <w:r>
        <w:t>Une matrice des cas d’usage prioritaires incluant « Briefing dirigeant et grille d’arbitrage » ; « Conduite du changement et culture IA » ; « Leadership data-driven » ; « Planification stratégique assistée ».</w:t>
      </w:r>
    </w:p>
    <w:p>
      <w:pPr>
        <w:pStyle w:val="ListBullet"/>
        <w:spacing w:after="40"/>
      </w:pPr>
      <w:r>
        <w:t>Un canevas de pilote à 90 jours avec KPI, rôles, supervision et critères de succès.</w:t>
      </w:r>
    </w:p>
    <w:p>
      <w:pPr>
        <w:pStyle w:val="ListBullet"/>
        <w:spacing w:after="40"/>
      </w:pPr>
      <w:r>
        <w:t>Une recommandation de parcours de montée en compétences à partir de : IA pour Dirigeants : Vision et Stratégie ; Prise de Décision Stratégique avec l’IA ; Leadership Data-Driven avec l’IA ; Conduite du Changement IA en Entreprise.</w:t>
      </w:r>
    </w:p>
    <w:p>
      <w:pPr>
        <w:pStyle w:val="Heading2"/>
        <w:spacing w:before="120" w:after="60"/>
      </w:pPr>
      <w:r>
        <w:t>Ancrages pédagogiques recommandés</w:t>
      </w:r>
    </w:p>
    <w:p>
      <w:pPr>
        <w:pStyle w:val="ListBullet"/>
        <w:spacing w:after="40"/>
      </w:pPr>
      <w:r>
        <w:t>IA pour Dirigeants : Vision et Stratégie</w:t>
      </w:r>
    </w:p>
    <w:p>
      <w:pPr>
        <w:pStyle w:val="ListBullet"/>
        <w:spacing w:after="40"/>
      </w:pPr>
      <w:r>
        <w:t>Prise de Décision Stratégique avec l’IA</w:t>
      </w:r>
    </w:p>
    <w:p>
      <w:pPr>
        <w:pStyle w:val="ListBullet"/>
        <w:spacing w:after="40"/>
      </w:pPr>
      <w:r>
        <w:t>Leadership Data-Driven avec l’IA</w:t>
      </w:r>
    </w:p>
    <w:p>
      <w:pPr>
        <w:pStyle w:val="ListBullet"/>
        <w:spacing w:after="40"/>
      </w:pPr>
      <w:r>
        <w:t>Conduite du Changement IA en Entreprise</w:t>
      </w:r>
    </w:p>
    <w:p>
      <w:pPr>
        <w:pStyle w:val="ListBullet"/>
        <w:spacing w:after="40"/>
      </w:pPr>
      <w:r>
        <w:t>Planification Stratégique Assistée par l’IA</w:t>
      </w:r>
    </w:p>
    <w:p>
      <w:pPr>
        <w:pStyle w:val="ListBullet"/>
        <w:spacing w:after="40"/>
      </w:pPr>
      <w:r>
        <w:t>Culture IA : Transformer les Mentalités</w:t>
      </w:r>
    </w:p>
    <w:p>
      <w:pPr>
        <w:pStyle w:val="Heading2"/>
        <w:spacing w:before="120" w:after="60"/>
      </w:pPr>
      <w:r>
        <w:t>Mention de personnalisation</w:t>
      </w:r>
    </w:p>
    <w:p>
      <w:pPr>
        <w:pStyle w:val="ListBullet"/>
        <w:spacing w:after="40"/>
      </w:pPr>
      <w:r>
        <w:t>Le contenu final est ajusté après qualification du contexte, des outils déjà utilisés, des données disponibles et des arbitrages de confidentialité propres au prospect.</w:t>
      </w:r>
    </w:p>
    <w:p>
      <w:pPr>
        <w:pStyle w:val="Heading1"/>
        <w:spacing w:before="200" w:after="60"/>
      </w:pPr>
      <w:r>
        <w:t>TransferAI - Mini catalogue premium IT &amp; Transformation Digitale</w:t>
      </w:r>
    </w:p>
    <w:p>
      <w:pPr>
        <w:spacing w:after="120"/>
      </w:pPr>
      <w:r>
        <w:t>Catalogue ciblé par secteur | Formule prioritaire sur mesure | Édition du 2026-06-12</w:t>
      </w:r>
    </w:p>
    <w:p>
      <w:pPr>
        <w:spacing w:after="120"/>
      </w:pPr>
      <w:r>
        <w:t>Ce document est conçu pour des prospects de même univers métier. Il peut être adapté à une organisation précise après audit IA gratuit et échange expert de qualification.</w:t>
      </w:r>
    </w:p>
    <w:p>
      <w:pPr>
        <w:pStyle w:val="Heading1"/>
        <w:spacing w:before="200" w:after="60"/>
      </w:pPr>
      <w:r>
        <w:t>Fiche sectorielle 10 / 16</w:t>
      </w:r>
    </w:p>
    <w:p>
      <w:pPr>
        <w:pStyle w:val="Heading2"/>
        <w:spacing w:before="120" w:after="60"/>
      </w:pPr>
      <w:r>
        <w:t>Domaine de référence</w:t>
      </w:r>
    </w:p>
    <w:p>
      <w:pPr>
        <w:pStyle w:val="ListBullet"/>
        <w:spacing w:after="40"/>
      </w:pPr>
      <w:r>
        <w:t>IT &amp; Transformation Digitale | Contextes proches : Télécommunications ; Fintech / Mobile Money ; Médias digitaux ; Administration / Numérique ; Inspection / Certification</w:t>
      </w:r>
    </w:p>
    <w:p>
      <w:pPr>
        <w:pStyle w:val="Heading2"/>
        <w:spacing w:before="120" w:after="60"/>
      </w:pPr>
      <w:r>
        <w:t>Enjeux sectoriels</w:t>
      </w:r>
    </w:p>
    <w:p>
      <w:pPr>
        <w:pStyle w:val="ListBullet"/>
        <w:spacing w:after="40"/>
      </w:pPr>
      <w:r>
        <w:t>Le ROI IT est souvent le plus visible lorsqu’on touche aux tickets simples, aux cycles de développement, aux workflows et au support interne.</w:t>
      </w:r>
    </w:p>
    <w:p>
      <w:pPr>
        <w:pStyle w:val="ListBullet"/>
        <w:spacing w:after="40"/>
      </w:pPr>
      <w:r>
        <w:t>Support interne surchargé : Les équipes IT absorbent beaucoup de tickets simples et de demandes documentaires. Une base de connaissances ou un assistant support réduit la charge répétitive et améliore la réactivité.</w:t>
      </w:r>
    </w:p>
    <w:p>
      <w:pPr>
        <w:pStyle w:val="ListBullet"/>
        <w:spacing w:after="40"/>
      </w:pPr>
      <w:r>
        <w:t>Workflows métiers encore manuels : Formulaires, validations, notifications et suivis restent dispersés entre outils et mails. L’automatisation progressive fluidifie les cycles et améliore la traçabilité.</w:t>
      </w:r>
    </w:p>
    <w:p>
      <w:pPr>
        <w:pStyle w:val="ListBullet"/>
        <w:spacing w:after="40"/>
      </w:pPr>
      <w:r>
        <w:t>Développement trop lourd pour de petits besoins : Des mini-portails ou apps internes attendent alors qu’ils pourraient être lancés plus vite. Les approches no-code et IA réduisent le délai entre besoin et premier livrable.</w:t>
      </w:r>
    </w:p>
    <w:p>
      <w:pPr>
        <w:pStyle w:val="ListBullet"/>
        <w:spacing w:after="40"/>
      </w:pPr>
      <w:r>
        <w:t>Gouvernance et architecture floues : Les équipes testent des outils sans toujours cadrer architecture, accès, sécurité et valeur métier. Les usages sont mieux ordonnés entre expérimentation, intégration et gouvernance.</w:t>
      </w:r>
    </w:p>
    <w:p>
      <w:pPr>
        <w:pStyle w:val="Heading2"/>
        <w:spacing w:before="120" w:after="60"/>
      </w:pPr>
      <w:r>
        <w:t>Contexte secteur à confirmer</w:t>
      </w:r>
    </w:p>
    <w:p>
      <w:pPr>
        <w:pStyle w:val="ListBullet"/>
        <w:spacing w:after="40"/>
      </w:pPr>
      <w:r>
        <w:t>Exemples de contextes proches : Télécommunications ; Fintech / Mobile Money ; Médias digitaux ; Administration / Numérique ; Inspection / Certification.</w:t>
      </w:r>
    </w:p>
    <w:p>
      <w:pPr>
        <w:pStyle w:val="ListBullet"/>
        <w:spacing w:after="40"/>
      </w:pPr>
      <w:r>
        <w:t>Les enjeux confirmés au cadrage doivent être reliés à des priorités visibles pour l’IT et la transformation digitale.</w:t>
      </w:r>
    </w:p>
    <w:p>
      <w:pPr>
        <w:pStyle w:val="ListBullet"/>
        <w:spacing w:after="40"/>
      </w:pPr>
      <w:r>
        <w:t>Le périmètre à confirmer peut concerner un site pilote, une direction donnée, une équipe support ou un processus transverse.</w:t>
      </w:r>
    </w:p>
    <w:p>
      <w:pPr>
        <w:pStyle w:val="ListBullet"/>
        <w:spacing w:after="40"/>
      </w:pPr>
      <w:r>
        <w:t>Les cas d’usage retenus doivent être validés selon les données disponibles, les règles de confidentialité et la capacité de supervision humaine.</w:t>
      </w:r>
    </w:p>
    <w:p>
      <w:pPr>
        <w:pStyle w:val="Heading2"/>
        <w:spacing w:before="120" w:after="60"/>
      </w:pPr>
      <w:r>
        <w:t>Cas d’usage TransferAI mis en avant</w:t>
      </w:r>
    </w:p>
    <w:p>
      <w:pPr>
        <w:pStyle w:val="ListBullet"/>
        <w:spacing w:after="40"/>
      </w:pPr>
      <w:r>
        <w:rPr>
          <w:b/>
        </w:rPr>
        <w:t>Base de connaissance et support IT interne</w:t>
      </w:r>
      <w:r>
        <w:t xml:space="preserve"> : Les utilisateurs accèdent plus vite aux bonnes réponses et le support se concentre sur les cas plus complexes. KPI de référence : Volume de tickets évités ; temps moyen de résolution.</w:t>
      </w:r>
    </w:p>
    <w:p>
      <w:pPr>
        <w:pStyle w:val="ListBullet"/>
        <w:spacing w:after="40"/>
      </w:pPr>
      <w:r>
        <w:rPr>
          <w:b/>
        </w:rPr>
        <w:t>Automatisation de workflows métiers</w:t>
      </w:r>
      <w:r>
        <w:t xml:space="preserve"> : Les flux critiques sont reliés, traçables et moins dépendants des relances manuelles. KPI de référence : Temps de cycle ; nombre d’étapes automatisées.</w:t>
      </w:r>
    </w:p>
    <w:p>
      <w:pPr>
        <w:pStyle w:val="ListBullet"/>
        <w:spacing w:after="40"/>
      </w:pPr>
      <w:r>
        <w:rPr>
          <w:b/>
        </w:rPr>
        <w:t>Mini-portails et outils internes</w:t>
      </w:r>
      <w:r>
        <w:t xml:space="preserve"> : Des interfaces utiles sont mises en circulation plus vite pour les équipes métier. KPI de référence : Délai de déploiement ; adoption utilisateur.</w:t>
      </w:r>
    </w:p>
    <w:p>
      <w:pPr>
        <w:pStyle w:val="ListBullet"/>
        <w:spacing w:after="40"/>
      </w:pPr>
      <w:r>
        <w:rPr>
          <w:b/>
        </w:rPr>
        <w:t>Architecture et gouvernance IA</w:t>
      </w:r>
      <w:r>
        <w:t xml:space="preserve"> : La DSI pose un cadre plus lisible pour les usages autorisés et les priorités d’intégration. KPI de référence : Temps de cadrage ; nombre d’usages gouvernés.</w:t>
      </w:r>
    </w:p>
    <w:p>
      <w:pPr>
        <w:pStyle w:val="Heading1"/>
        <w:spacing w:before="200" w:after="60"/>
      </w:pPr>
      <w:r>
        <w:t>Formule prioritaire recommandée</w:t>
      </w:r>
    </w:p>
    <w:p>
      <w:pPr>
        <w:pStyle w:val="Heading2"/>
        <w:spacing w:before="120" w:after="60"/>
      </w:pPr>
      <w:r>
        <w:t>Intitulé</w:t>
      </w:r>
    </w:p>
    <w:p>
      <w:pPr>
        <w:pStyle w:val="ListBullet"/>
        <w:spacing w:after="40"/>
      </w:pPr>
      <w:r>
        <w:t>Bootcamp IA sectoriel IT &amp; Transformation Digitale : de l’acculturation utile au premier pilote mesurable</w:t>
      </w:r>
    </w:p>
    <w:p>
      <w:pPr>
        <w:pStyle w:val="Heading2"/>
        <w:spacing w:before="120" w:after="60"/>
      </w:pPr>
      <w:r>
        <w:t>Public cible</w:t>
      </w:r>
    </w:p>
    <w:p>
      <w:pPr>
        <w:pStyle w:val="ListBullet"/>
        <w:spacing w:after="40"/>
      </w:pPr>
      <w:r>
        <w:t>DSI, transformation digitale, PMO, équipes produit, support et gouvernance</w:t>
      </w:r>
    </w:p>
    <w:p>
      <w:pPr>
        <w:pStyle w:val="Heading2"/>
        <w:spacing w:before="120" w:after="60"/>
      </w:pPr>
      <w:r>
        <w:t>Formats possibles</w:t>
      </w:r>
    </w:p>
    <w:p>
      <w:pPr>
        <w:pStyle w:val="ListBullet"/>
        <w:spacing w:after="40"/>
      </w:pPr>
      <w:r>
        <w:t>Présentiel</w:t>
      </w:r>
    </w:p>
    <w:p>
      <w:pPr>
        <w:pStyle w:val="ListBullet"/>
        <w:spacing w:after="40"/>
      </w:pPr>
      <w:r>
        <w:t>Hybride</w:t>
      </w:r>
    </w:p>
    <w:p>
      <w:pPr>
        <w:pStyle w:val="ListBullet"/>
        <w:spacing w:after="40"/>
      </w:pPr>
      <w:r>
        <w:t>En ligne (style webinaire)</w:t>
      </w:r>
    </w:p>
    <w:p>
      <w:pPr>
        <w:pStyle w:val="Heading2"/>
        <w:spacing w:before="120" w:after="60"/>
      </w:pPr>
      <w:r>
        <w:t>Niveaux</w:t>
      </w:r>
    </w:p>
    <w:p>
      <w:pPr>
        <w:pStyle w:val="ListBullet"/>
        <w:spacing w:after="40"/>
      </w:pPr>
      <w:r>
        <w:t>Débutant</w:t>
      </w:r>
    </w:p>
    <w:p>
      <w:pPr>
        <w:pStyle w:val="ListBullet"/>
        <w:spacing w:after="40"/>
      </w:pPr>
      <w:r>
        <w:t>Intermédiaire</w:t>
      </w:r>
    </w:p>
    <w:p>
      <w:pPr>
        <w:pStyle w:val="ListBullet"/>
        <w:spacing w:after="40"/>
      </w:pPr>
      <w:r>
        <w:t>Avancé</w:t>
      </w:r>
    </w:p>
    <w:p>
      <w:pPr>
        <w:pStyle w:val="Heading2"/>
        <w:spacing w:before="120" w:after="60"/>
      </w:pPr>
      <w:r>
        <w:t>Durée</w:t>
      </w:r>
    </w:p>
    <w:p>
      <w:pPr>
        <w:pStyle w:val="ListBullet"/>
        <w:spacing w:after="40"/>
      </w:pPr>
      <w:r>
        <w:t>1 jour : version décideurs et managers</w:t>
      </w:r>
    </w:p>
    <w:p>
      <w:pPr>
        <w:pStyle w:val="ListBullet"/>
        <w:spacing w:after="40"/>
      </w:pPr>
      <w:r>
        <w:t>2 jours : version équipes, managers et mise en pratique</w:t>
      </w:r>
    </w:p>
    <w:p>
      <w:pPr>
        <w:pStyle w:val="Heading2"/>
        <w:spacing w:before="120" w:after="60"/>
      </w:pPr>
      <w:r>
        <w:t>Tarif</w:t>
      </w:r>
    </w:p>
    <w:p>
      <w:pPr>
        <w:pStyle w:val="ListBullet"/>
        <w:spacing w:after="40"/>
      </w:pPr>
      <w:r>
        <w:t>Prix sur demande</w:t>
      </w:r>
    </w:p>
    <w:p>
      <w:pPr>
        <w:pStyle w:val="Heading2"/>
        <w:spacing w:before="120" w:after="60"/>
      </w:pPr>
      <w:r>
        <w:t>Résultats attendus</w:t>
      </w:r>
    </w:p>
    <w:p>
      <w:pPr>
        <w:pStyle w:val="ListBullet"/>
        <w:spacing w:after="40"/>
      </w:pPr>
      <w:r>
        <w:t>Moins de tickets simples pour le support interne (FAQ, documentation, incidents récurrents).</w:t>
      </w:r>
    </w:p>
    <w:p>
      <w:pPr>
        <w:pStyle w:val="ListBullet"/>
        <w:spacing w:after="40"/>
      </w:pPr>
      <w:r>
        <w:t>Cycles plus courts sur les workflows (validation, reporting, notifications).</w:t>
      </w:r>
    </w:p>
    <w:p>
      <w:pPr>
        <w:pStyle w:val="ListBullet"/>
        <w:spacing w:after="40"/>
      </w:pPr>
      <w:r>
        <w:t>Déploiement plus rapide de mini-apps utiles (sans projet lourd).</w:t>
      </w:r>
    </w:p>
    <w:p>
      <w:pPr>
        <w:pStyle w:val="ListBullet"/>
        <w:spacing w:after="40"/>
      </w:pPr>
      <w:r>
        <w:t>Gouvernance plus nette sur les usages IA (architecture, accès, sécurité).</w:t>
      </w:r>
    </w:p>
    <w:p>
      <w:pPr>
        <w:pStyle w:val="ListBullet"/>
        <w:spacing w:after="40"/>
      </w:pPr>
      <w:r>
        <w:t>Une feuille de route claire sur les deux premiers cas d’usage à lancer dans l’IT et la transformation digitale.</w:t>
      </w:r>
    </w:p>
    <w:p>
      <w:pPr>
        <w:pStyle w:val="ListBullet"/>
        <w:spacing w:after="40"/>
      </w:pPr>
      <w:r>
        <w:t>Une meilleure capacité à relier formation, gouvernance, pilote et retour sur investissement visible.</w:t>
      </w:r>
    </w:p>
    <w:p>
      <w:pPr>
        <w:pStyle w:val="Heading2"/>
        <w:spacing w:before="120" w:after="60"/>
      </w:pPr>
      <w:r>
        <w:t>Objectifs pédagogiques</w:t>
      </w:r>
    </w:p>
    <w:p>
      <w:pPr>
        <w:pStyle w:val="ListBullet"/>
        <w:spacing w:after="40"/>
      </w:pPr>
      <w:r>
        <w:t>Identifier les priorités métier les plus crédibles à traiter par l’IA dans l’IT et la transformation digitale.</w:t>
      </w:r>
    </w:p>
    <w:p>
      <w:pPr>
        <w:pStyle w:val="ListBullet"/>
        <w:spacing w:after="40"/>
      </w:pPr>
      <w:r>
        <w:t>Savoir structurer et piloter le cas d’usage « Base de connaissance et support IT interne ».</w:t>
      </w:r>
    </w:p>
    <w:p>
      <w:pPr>
        <w:pStyle w:val="ListBullet"/>
        <w:spacing w:after="40"/>
      </w:pPr>
      <w:r>
        <w:t>Savoir structurer et piloter le cas d’usage « Automatisation de workflows métiers ».</w:t>
      </w:r>
    </w:p>
    <w:p>
      <w:pPr>
        <w:pStyle w:val="ListBullet"/>
        <w:spacing w:after="40"/>
      </w:pPr>
      <w:r>
        <w:t>Savoir structurer et piloter le cas d’usage « Mini-portails et outils internes ».</w:t>
      </w:r>
    </w:p>
    <w:p>
      <w:pPr>
        <w:pStyle w:val="ListBullet"/>
        <w:spacing w:after="40"/>
      </w:pPr>
      <w:r>
        <w:t>Distinguer les usages immédiatement activables, les usages à encadrer et les usages à piloter dans le temps.</w:t>
      </w:r>
    </w:p>
    <w:p>
      <w:pPr>
        <w:pStyle w:val="ListBullet"/>
        <w:spacing w:after="40"/>
      </w:pPr>
      <w:r>
        <w:t>Définir des KPI simples, un cadre de confiance et un premier plan d’action à 90 jours.</w:t>
      </w:r>
    </w:p>
    <w:p>
      <w:pPr>
        <w:pStyle w:val="Heading2"/>
        <w:spacing w:before="120" w:after="60"/>
      </w:pPr>
      <w:r>
        <w:t>Programme</w:t>
      </w:r>
    </w:p>
    <w:p>
      <w:pPr>
        <w:pStyle w:val="Heading3"/>
        <w:spacing w:before="120" w:after="60"/>
      </w:pPr>
      <w:r>
        <w:t>Jour 1</w:t>
      </w:r>
    </w:p>
    <w:p>
      <w:pPr>
        <w:pStyle w:val="ListBullet"/>
        <w:spacing w:after="40"/>
      </w:pPr>
      <w:r>
        <w:t>Lecture des enjeux sectoriels : Le ROI IT est souvent le plus visible lorsqu’on touche aux tickets simples, aux cycles de développement, aux workflows et au support interne.</w:t>
      </w:r>
    </w:p>
    <w:p>
      <w:pPr>
        <w:pStyle w:val="ListBullet"/>
        <w:spacing w:after="40"/>
      </w:pPr>
      <w:r>
        <w:t>Cartographie des priorités métier confirmées : Support interne surchargé ; Workflows métiers encore manuels ; Développement trop lourd pour de petits besoins.</w:t>
      </w:r>
    </w:p>
    <w:p>
      <w:pPr>
        <w:pStyle w:val="ListBullet"/>
        <w:spacing w:after="40"/>
      </w:pPr>
      <w:r>
        <w:t>Études de cas guidées autour de « Base de connaissance et support IT interne » et « Automatisation de workflows métiers ».</w:t>
      </w:r>
    </w:p>
    <w:p>
      <w:pPr>
        <w:pStyle w:val="ListBullet"/>
        <w:spacing w:after="40"/>
      </w:pPr>
      <w:r>
        <w:t>Méthodes, outils et gestes professionnels à partir des ancrages pédagogiques suivants : Intégration d’Outils IA en Entreprise ; APIs et Intégration de Services IA ; Automatisation IT avec l’IA (DevOps).</w:t>
      </w:r>
    </w:p>
    <w:p>
      <w:pPr>
        <w:pStyle w:val="ListBullet"/>
        <w:spacing w:after="40"/>
      </w:pPr>
      <w:r>
        <w:t>Cadre de confiance : confidentialité, supervision humaine, validation managériale et critères d’extension.</w:t>
      </w:r>
    </w:p>
    <w:p>
      <w:pPr>
        <w:pStyle w:val="Heading3"/>
        <w:spacing w:before="120" w:after="60"/>
      </w:pPr>
      <w:r>
        <w:t>Jour 2</w:t>
      </w:r>
    </w:p>
    <w:p>
      <w:pPr>
        <w:pStyle w:val="ListBullet"/>
        <w:spacing w:after="40"/>
      </w:pPr>
      <w:r>
        <w:t>Cette journée s’active lorsque la formule 2 jours est retenue.</w:t>
      </w:r>
    </w:p>
    <w:p>
      <w:pPr>
        <w:pStyle w:val="ListBullet"/>
        <w:spacing w:after="40"/>
      </w:pPr>
      <w:r>
        <w:t>Ateliers de conception sur « Mini-portails et outils internes » et « Architecture et gouvernance IA ».</w:t>
      </w:r>
    </w:p>
    <w:p>
      <w:pPr>
        <w:pStyle w:val="ListBullet"/>
        <w:spacing w:after="40"/>
      </w:pPr>
      <w:r>
        <w:t>Construction de prompts, trames, routines et scénarios d’usage adaptés au terrain.</w:t>
      </w:r>
    </w:p>
    <w:p>
      <w:pPr>
        <w:pStyle w:val="ListBullet"/>
        <w:spacing w:after="40"/>
      </w:pPr>
      <w:r>
        <w:t>Approfondissements recommandés : No-Code et IA : Développer sans Coder ; Architecture de Solutions IA ; Gouvernance IT et Stratégie IA.</w:t>
      </w:r>
    </w:p>
    <w:p>
      <w:pPr>
        <w:pStyle w:val="ListBullet"/>
        <w:spacing w:after="40"/>
      </w:pPr>
      <w:r>
        <w:t>Définition du premier pilote, des livrables attendus et des KPI de suivi.</w:t>
      </w:r>
    </w:p>
    <w:p>
      <w:pPr>
        <w:pStyle w:val="ListBullet"/>
        <w:spacing w:after="40"/>
      </w:pPr>
      <w:r>
        <w:t>Plan d’action à 90 jours : séquencement, populations à former, gouvernance et arbitrages de déploiement.</w:t>
      </w:r>
    </w:p>
    <w:p>
      <w:pPr>
        <w:pStyle w:val="Heading2"/>
        <w:spacing w:before="120" w:after="60"/>
      </w:pPr>
      <w:r>
        <w:t>Livrables / attendus</w:t>
      </w:r>
    </w:p>
    <w:p>
      <w:pPr>
        <w:pStyle w:val="ListBullet"/>
        <w:spacing w:after="40"/>
      </w:pPr>
      <w:r>
        <w:t>Une note de cadrage sectorielle pour l’IT et la transformation digitale avec priorités confirmées, risques et premières décisions.</w:t>
      </w:r>
    </w:p>
    <w:p>
      <w:pPr>
        <w:pStyle w:val="ListBullet"/>
        <w:spacing w:after="40"/>
      </w:pPr>
      <w:r>
        <w:t>Une matrice des cas d’usage prioritaires incluant « Base de connaissance et support IT interne » ; « Automatisation de workflows métiers » ; « Mini-portails et outils internes » ; « Architecture et gouvernance IA ».</w:t>
      </w:r>
    </w:p>
    <w:p>
      <w:pPr>
        <w:pStyle w:val="ListBullet"/>
        <w:spacing w:after="40"/>
      </w:pPr>
      <w:r>
        <w:t>Un canevas de pilote à 90 jours avec KPI, rôles, supervision et critères de succès.</w:t>
      </w:r>
    </w:p>
    <w:p>
      <w:pPr>
        <w:pStyle w:val="ListBullet"/>
        <w:spacing w:after="40"/>
      </w:pPr>
      <w:r>
        <w:t>Une recommandation de parcours de montée en compétences à partir de : Intégration d’Outils IA en Entreprise ; APIs et Intégration de Services IA ; Automatisation IT avec l’IA (DevOps) ; No-Code et IA : Développer sans Coder.</w:t>
      </w:r>
    </w:p>
    <w:p>
      <w:pPr>
        <w:pStyle w:val="Heading2"/>
        <w:spacing w:before="120" w:after="60"/>
      </w:pPr>
      <w:r>
        <w:t>Ancrages pédagogiques recommandés</w:t>
      </w:r>
    </w:p>
    <w:p>
      <w:pPr>
        <w:pStyle w:val="ListBullet"/>
        <w:spacing w:after="40"/>
      </w:pPr>
      <w:r>
        <w:t>Intégration d’Outils IA en Entreprise</w:t>
      </w:r>
    </w:p>
    <w:p>
      <w:pPr>
        <w:pStyle w:val="ListBullet"/>
        <w:spacing w:after="40"/>
      </w:pPr>
      <w:r>
        <w:t>APIs et Intégration de Services IA</w:t>
      </w:r>
    </w:p>
    <w:p>
      <w:pPr>
        <w:pStyle w:val="ListBullet"/>
        <w:spacing w:after="40"/>
      </w:pPr>
      <w:r>
        <w:t>Automatisation IT avec l’IA (DevOps)</w:t>
      </w:r>
    </w:p>
    <w:p>
      <w:pPr>
        <w:pStyle w:val="ListBullet"/>
        <w:spacing w:after="40"/>
      </w:pPr>
      <w:r>
        <w:t>No-Code et IA : Développer sans Coder</w:t>
      </w:r>
    </w:p>
    <w:p>
      <w:pPr>
        <w:pStyle w:val="ListBullet"/>
        <w:spacing w:after="40"/>
      </w:pPr>
      <w:r>
        <w:t>Architecture de Solutions IA</w:t>
      </w:r>
    </w:p>
    <w:p>
      <w:pPr>
        <w:pStyle w:val="ListBullet"/>
        <w:spacing w:after="40"/>
      </w:pPr>
      <w:r>
        <w:t>Gouvernance IT et Stratégie IA</w:t>
      </w:r>
    </w:p>
    <w:p>
      <w:pPr>
        <w:pStyle w:val="Heading2"/>
        <w:spacing w:before="120" w:after="60"/>
      </w:pPr>
      <w:r>
        <w:t>Mention de personnalisation</w:t>
      </w:r>
    </w:p>
    <w:p>
      <w:pPr>
        <w:pStyle w:val="ListBullet"/>
        <w:spacing w:after="40"/>
      </w:pPr>
      <w:r>
        <w:t>Le contenu final est ajusté après qualification du contexte, des outils déjà utilisés, des données disponibles et des arbitrages de confidentialité propres au prospect.</w:t>
      </w:r>
    </w:p>
    <w:p>
      <w:pPr>
        <w:pStyle w:val="Heading1"/>
        <w:spacing w:before="200" w:after="60"/>
      </w:pPr>
      <w:r>
        <w:t>TransferAI - Mini catalogue premium Formation &amp; Pédagogie</w:t>
      </w:r>
    </w:p>
    <w:p>
      <w:pPr>
        <w:spacing w:after="120"/>
      </w:pPr>
      <w:r>
        <w:t>Catalogue ciblé par secteur | Formule prioritaire sur mesure | Édition du 2026-06-12</w:t>
      </w:r>
    </w:p>
    <w:p>
      <w:pPr>
        <w:spacing w:after="120"/>
      </w:pPr>
      <w:r>
        <w:t>Ce document est conçu pour des prospects de même univers métier. Il peut être adapté à une organisation précise après audit IA gratuit et échange expert de qualification.</w:t>
      </w:r>
    </w:p>
    <w:p>
      <w:pPr>
        <w:pStyle w:val="Heading1"/>
        <w:spacing w:before="200" w:after="60"/>
      </w:pPr>
      <w:r>
        <w:t>Fiche sectorielle 11 / 16</w:t>
      </w:r>
    </w:p>
    <w:p>
      <w:pPr>
        <w:pStyle w:val="Heading2"/>
        <w:spacing w:before="120" w:after="60"/>
      </w:pPr>
      <w:r>
        <w:t>Domaine de référence</w:t>
      </w:r>
    </w:p>
    <w:p>
      <w:pPr>
        <w:pStyle w:val="ListBullet"/>
        <w:spacing w:after="40"/>
      </w:pPr>
      <w:r>
        <w:t>Formation &amp; Pédagogie | Contextes proches : Formation professionnelle ; Éducation / Management ; Institution régionale ; Finance / Développement ; Aide humanitaire / Éducation</w:t>
      </w:r>
    </w:p>
    <w:p>
      <w:pPr>
        <w:pStyle w:val="Heading2"/>
        <w:spacing w:before="120" w:after="60"/>
      </w:pPr>
      <w:r>
        <w:t>Enjeux sectoriels</w:t>
      </w:r>
    </w:p>
    <w:p>
      <w:pPr>
        <w:pStyle w:val="ListBullet"/>
        <w:spacing w:after="40"/>
      </w:pPr>
      <w:r>
        <w:t>La vraie promesse ici n’est pas de produire plus de slides. C’est de concevoir plus vite des parcours utiles, mieux adaptés et mieux suivis.</w:t>
      </w:r>
    </w:p>
    <w:p>
      <w:pPr>
        <w:pStyle w:val="ListBullet"/>
        <w:spacing w:after="40"/>
      </w:pPr>
      <w:r>
        <w:t>Conception pédagogique trop lente : Créer modules, quiz, études de cas et supports demande beaucoup de temps expert. Les ingénieries, plans de cours et variations de supports se préparent plus vite.</w:t>
      </w:r>
    </w:p>
    <w:p>
      <w:pPr>
        <w:pStyle w:val="ListBullet"/>
        <w:spacing w:after="40"/>
      </w:pPr>
      <w:r>
        <w:t>Peu de personnalisation des parcours : Les contenus s’adressent à tout le monde de la même manière malgré des besoins très différents. Les parcours gagnent en adaptation selon profils, niveaux et objectifs de cohorte.</w:t>
      </w:r>
    </w:p>
    <w:p>
      <w:pPr>
        <w:pStyle w:val="ListBullet"/>
        <w:spacing w:after="40"/>
      </w:pPr>
      <w:r>
        <w:t>Analyse de cohortes fastidieuse : Les résultats d’apprentissage existent mais restent longs à relire et à interpréter. Les responsables pédagogiques reçoivent des synthèses plus rapides et plus actionnables.</w:t>
      </w:r>
    </w:p>
    <w:p>
      <w:pPr>
        <w:pStyle w:val="ListBullet"/>
        <w:spacing w:after="40"/>
      </w:pPr>
      <w:r>
        <w:t>Production multimédia morcelée : Vidéo, texte, quiz et animation sont produits dans des cycles séparés et lents. Les équipes accélèrent la déclinaison multi-format des contenus pédagogiques.</w:t>
      </w:r>
    </w:p>
    <w:p>
      <w:pPr>
        <w:pStyle w:val="Heading2"/>
        <w:spacing w:before="120" w:after="60"/>
      </w:pPr>
      <w:r>
        <w:t>Contexte secteur à confirmer</w:t>
      </w:r>
    </w:p>
    <w:p>
      <w:pPr>
        <w:pStyle w:val="ListBullet"/>
        <w:spacing w:after="40"/>
      </w:pPr>
      <w:r>
        <w:t>Exemples de contextes proches : Formation professionnelle ; Éducation / Management ; Institution régionale ; Finance / Développement ; Aide humanitaire / Éducation.</w:t>
      </w:r>
    </w:p>
    <w:p>
      <w:pPr>
        <w:pStyle w:val="ListBullet"/>
        <w:spacing w:after="40"/>
      </w:pPr>
      <w:r>
        <w:t>Les enjeux confirmés au cadrage doivent être reliés à des priorités visibles pour la formation et la pédagogie.</w:t>
      </w:r>
    </w:p>
    <w:p>
      <w:pPr>
        <w:pStyle w:val="ListBullet"/>
        <w:spacing w:after="40"/>
      </w:pPr>
      <w:r>
        <w:t>Le périmètre à confirmer peut concerner un site pilote, une direction donnée, une équipe support ou un processus transverse.</w:t>
      </w:r>
    </w:p>
    <w:p>
      <w:pPr>
        <w:pStyle w:val="ListBullet"/>
        <w:spacing w:after="40"/>
      </w:pPr>
      <w:r>
        <w:t>Les cas d’usage retenus doivent être validés selon les données disponibles, les règles de confidentialité et la capacité de supervision humaine.</w:t>
      </w:r>
    </w:p>
    <w:p>
      <w:pPr>
        <w:pStyle w:val="Heading2"/>
        <w:spacing w:before="120" w:after="60"/>
      </w:pPr>
      <w:r>
        <w:t>Cas d’usage TransferAI mis en avant</w:t>
      </w:r>
    </w:p>
    <w:p>
      <w:pPr>
        <w:pStyle w:val="ListBullet"/>
        <w:spacing w:after="40"/>
      </w:pPr>
      <w:r>
        <w:rPr>
          <w:b/>
        </w:rPr>
        <w:t>Conception de modules et cas pratiques</w:t>
      </w:r>
      <w:r>
        <w:t xml:space="preserve"> : Les équipes gagnent une base mieux structurée pour construire modules, séquences et évaluations. KPI de référence : Temps de création d’un module ; délai de mise en cohorte.</w:t>
      </w:r>
    </w:p>
    <w:p>
      <w:pPr>
        <w:pStyle w:val="ListBullet"/>
        <w:spacing w:after="40"/>
      </w:pPr>
      <w:r>
        <w:rPr>
          <w:b/>
        </w:rPr>
        <w:t>Personnalisation des parcours</w:t>
      </w:r>
      <w:r>
        <w:t xml:space="preserve"> : Les exercices, variantes et feedbacks se déclinent plus finement selon les besoins. KPI de référence : Taux de complétion ; taux de réussite.</w:t>
      </w:r>
    </w:p>
    <w:p>
      <w:pPr>
        <w:pStyle w:val="ListBullet"/>
        <w:spacing w:after="40"/>
      </w:pPr>
      <w:r>
        <w:rPr>
          <w:b/>
        </w:rPr>
        <w:t>Tutorat virtuel et assistant apprenant</w:t>
      </w:r>
      <w:r>
        <w:t xml:space="preserve"> : Un assistant encadré répond au premier niveau et oriente vers les bons supports. KPI de référence : Temps de réponse ; satisfaction apprenants.</w:t>
      </w:r>
    </w:p>
    <w:p>
      <w:pPr>
        <w:pStyle w:val="ListBullet"/>
        <w:spacing w:after="40"/>
      </w:pPr>
      <w:r>
        <w:rPr>
          <w:b/>
        </w:rPr>
        <w:t>Reporting pédagogique de cohorte</w:t>
      </w:r>
      <w:r>
        <w:t xml:space="preserve"> : Les responsables pédagogiques relisent plus vite les points faibles, écarts et actions d’amélioration. KPI de référence : Temps de reporting ; nombre d’actions correctives décidées.</w:t>
      </w:r>
    </w:p>
    <w:p>
      <w:pPr>
        <w:pStyle w:val="Heading1"/>
        <w:spacing w:before="200" w:after="60"/>
      </w:pPr>
      <w:r>
        <w:t>Formule prioritaire recommandée</w:t>
      </w:r>
    </w:p>
    <w:p>
      <w:pPr>
        <w:pStyle w:val="Heading2"/>
        <w:spacing w:before="120" w:after="60"/>
      </w:pPr>
      <w:r>
        <w:t>Intitulé</w:t>
      </w:r>
    </w:p>
    <w:p>
      <w:pPr>
        <w:pStyle w:val="ListBullet"/>
        <w:spacing w:after="40"/>
      </w:pPr>
      <w:r>
        <w:t>Bootcamp IA sectoriel Formation &amp; Pédagogie : de l’acculturation utile au premier pilote mesurable</w:t>
      </w:r>
    </w:p>
    <w:p>
      <w:pPr>
        <w:pStyle w:val="Heading2"/>
        <w:spacing w:before="120" w:after="60"/>
      </w:pPr>
      <w:r>
        <w:t>Public cible</w:t>
      </w:r>
    </w:p>
    <w:p>
      <w:pPr>
        <w:pStyle w:val="ListBullet"/>
        <w:spacing w:after="40"/>
      </w:pPr>
      <w:r>
        <w:t>Directions pédagogiques, responsables académiques, formateurs, ingénierie de formation</w:t>
      </w:r>
    </w:p>
    <w:p>
      <w:pPr>
        <w:pStyle w:val="Heading2"/>
        <w:spacing w:before="120" w:after="60"/>
      </w:pPr>
      <w:r>
        <w:t>Formats possibles</w:t>
      </w:r>
    </w:p>
    <w:p>
      <w:pPr>
        <w:pStyle w:val="ListBullet"/>
        <w:spacing w:after="40"/>
      </w:pPr>
      <w:r>
        <w:t>Présentiel</w:t>
      </w:r>
    </w:p>
    <w:p>
      <w:pPr>
        <w:pStyle w:val="ListBullet"/>
        <w:spacing w:after="40"/>
      </w:pPr>
      <w:r>
        <w:t>Hybride</w:t>
      </w:r>
    </w:p>
    <w:p>
      <w:pPr>
        <w:pStyle w:val="ListBullet"/>
        <w:spacing w:after="40"/>
      </w:pPr>
      <w:r>
        <w:t>En ligne (style webinaire)</w:t>
      </w:r>
    </w:p>
    <w:p>
      <w:pPr>
        <w:pStyle w:val="Heading2"/>
        <w:spacing w:before="120" w:after="60"/>
      </w:pPr>
      <w:r>
        <w:t>Niveaux</w:t>
      </w:r>
    </w:p>
    <w:p>
      <w:pPr>
        <w:pStyle w:val="ListBullet"/>
        <w:spacing w:after="40"/>
      </w:pPr>
      <w:r>
        <w:t>Débutant</w:t>
      </w:r>
    </w:p>
    <w:p>
      <w:pPr>
        <w:pStyle w:val="ListBullet"/>
        <w:spacing w:after="40"/>
      </w:pPr>
      <w:r>
        <w:t>Intermédiaire</w:t>
      </w:r>
    </w:p>
    <w:p>
      <w:pPr>
        <w:pStyle w:val="ListBullet"/>
        <w:spacing w:after="40"/>
      </w:pPr>
      <w:r>
        <w:t>Avancé</w:t>
      </w:r>
    </w:p>
    <w:p>
      <w:pPr>
        <w:pStyle w:val="Heading2"/>
        <w:spacing w:before="120" w:after="60"/>
      </w:pPr>
      <w:r>
        <w:t>Durée</w:t>
      </w:r>
    </w:p>
    <w:p>
      <w:pPr>
        <w:pStyle w:val="ListBullet"/>
        <w:spacing w:after="40"/>
      </w:pPr>
      <w:r>
        <w:t>1 jour : version décideurs et managers</w:t>
      </w:r>
    </w:p>
    <w:p>
      <w:pPr>
        <w:pStyle w:val="ListBullet"/>
        <w:spacing w:after="40"/>
      </w:pPr>
      <w:r>
        <w:t>2 jours : version équipes, managers et mise en pratique</w:t>
      </w:r>
    </w:p>
    <w:p>
      <w:pPr>
        <w:pStyle w:val="Heading2"/>
        <w:spacing w:before="120" w:after="60"/>
      </w:pPr>
      <w:r>
        <w:t>Tarif</w:t>
      </w:r>
    </w:p>
    <w:p>
      <w:pPr>
        <w:pStyle w:val="ListBullet"/>
        <w:spacing w:after="40"/>
      </w:pPr>
      <w:r>
        <w:t>Prix sur demande</w:t>
      </w:r>
    </w:p>
    <w:p>
      <w:pPr>
        <w:pStyle w:val="Heading2"/>
        <w:spacing w:before="120" w:after="60"/>
      </w:pPr>
      <w:r>
        <w:t>Résultats attendus</w:t>
      </w:r>
    </w:p>
    <w:p>
      <w:pPr>
        <w:pStyle w:val="ListBullet"/>
        <w:spacing w:after="40"/>
      </w:pPr>
      <w:r>
        <w:t>40 à 70 % sur la conception (modules, exercices, supports).</w:t>
      </w:r>
    </w:p>
    <w:p>
      <w:pPr>
        <w:pStyle w:val="ListBullet"/>
        <w:spacing w:after="40"/>
      </w:pPr>
      <w:r>
        <w:t>Parcours plus adaptés selon les profils (niveaux, fonctions, cohortes).</w:t>
      </w:r>
    </w:p>
    <w:p>
      <w:pPr>
        <w:pStyle w:val="ListBullet"/>
        <w:spacing w:after="40"/>
      </w:pPr>
      <w:r>
        <w:t>Reporting plus rapide des cohortes (résultats et points faibles).</w:t>
      </w:r>
    </w:p>
    <w:p>
      <w:pPr>
        <w:pStyle w:val="ListBullet"/>
        <w:spacing w:after="40"/>
      </w:pPr>
      <w:r>
        <w:t>Production plus fluide des formats pédagogiques (texte, quiz, vidéo, fiches).</w:t>
      </w:r>
    </w:p>
    <w:p>
      <w:pPr>
        <w:pStyle w:val="ListBullet"/>
        <w:spacing w:after="40"/>
      </w:pPr>
      <w:r>
        <w:t>Une feuille de route claire sur les deux premiers cas d’usage à lancer dans la formation et la pédagogie.</w:t>
      </w:r>
    </w:p>
    <w:p>
      <w:pPr>
        <w:pStyle w:val="ListBullet"/>
        <w:spacing w:after="40"/>
      </w:pPr>
      <w:r>
        <w:t>Une meilleure capacité à relier formation, gouvernance, pilote et retour sur investissement visible.</w:t>
      </w:r>
    </w:p>
    <w:p>
      <w:pPr>
        <w:pStyle w:val="Heading2"/>
        <w:spacing w:before="120" w:after="60"/>
      </w:pPr>
      <w:r>
        <w:t>Objectifs pédagogiques</w:t>
      </w:r>
    </w:p>
    <w:p>
      <w:pPr>
        <w:pStyle w:val="ListBullet"/>
        <w:spacing w:after="40"/>
      </w:pPr>
      <w:r>
        <w:t>Identifier les priorités métier les plus crédibles à traiter par l’IA dans la formation et la pédagogie.</w:t>
      </w:r>
    </w:p>
    <w:p>
      <w:pPr>
        <w:pStyle w:val="ListBullet"/>
        <w:spacing w:after="40"/>
      </w:pPr>
      <w:r>
        <w:t>Savoir structurer et piloter le cas d’usage « Conception de modules et cas pratiques ».</w:t>
      </w:r>
    </w:p>
    <w:p>
      <w:pPr>
        <w:pStyle w:val="ListBullet"/>
        <w:spacing w:after="40"/>
      </w:pPr>
      <w:r>
        <w:t>Savoir structurer et piloter le cas d’usage « Personnalisation des parcours ».</w:t>
      </w:r>
    </w:p>
    <w:p>
      <w:pPr>
        <w:pStyle w:val="ListBullet"/>
        <w:spacing w:after="40"/>
      </w:pPr>
      <w:r>
        <w:t>Savoir structurer et piloter le cas d’usage « Tutorat virtuel et assistant apprenant ».</w:t>
      </w:r>
    </w:p>
    <w:p>
      <w:pPr>
        <w:pStyle w:val="ListBullet"/>
        <w:spacing w:after="40"/>
      </w:pPr>
      <w:r>
        <w:t>Distinguer les usages immédiatement activables, les usages à encadrer et les usages à piloter dans le temps.</w:t>
      </w:r>
    </w:p>
    <w:p>
      <w:pPr>
        <w:pStyle w:val="ListBullet"/>
        <w:spacing w:after="40"/>
      </w:pPr>
      <w:r>
        <w:t>Définir des KPI simples, un cadre de confiance et un premier plan d’action à 90 jours.</w:t>
      </w:r>
    </w:p>
    <w:p>
      <w:pPr>
        <w:pStyle w:val="Heading2"/>
        <w:spacing w:before="120" w:after="60"/>
      </w:pPr>
      <w:r>
        <w:t>Programme</w:t>
      </w:r>
    </w:p>
    <w:p>
      <w:pPr>
        <w:pStyle w:val="Heading3"/>
        <w:spacing w:before="120" w:after="60"/>
      </w:pPr>
      <w:r>
        <w:t>Jour 1</w:t>
      </w:r>
    </w:p>
    <w:p>
      <w:pPr>
        <w:pStyle w:val="ListBullet"/>
        <w:spacing w:after="40"/>
      </w:pPr>
      <w:r>
        <w:t>Lecture des enjeux sectoriels : La vraie promesse ici n’est pas de produire plus de slides. C’est de concevoir plus vite des parcours utiles, mieux adaptés et mieux suivis.</w:t>
      </w:r>
    </w:p>
    <w:p>
      <w:pPr>
        <w:pStyle w:val="ListBullet"/>
        <w:spacing w:after="40"/>
      </w:pPr>
      <w:r>
        <w:t>Cartographie des priorités métier confirmées : Conception pédagogique trop lente ; Peu de personnalisation des parcours ; Analyse de cohortes fastidieuse.</w:t>
      </w:r>
    </w:p>
    <w:p>
      <w:pPr>
        <w:pStyle w:val="ListBullet"/>
        <w:spacing w:after="40"/>
      </w:pPr>
      <w:r>
        <w:t>Études de cas guidées autour de « Conception de modules et cas pratiques » et « Personnalisation des parcours ».</w:t>
      </w:r>
    </w:p>
    <w:p>
      <w:pPr>
        <w:pStyle w:val="ListBullet"/>
        <w:spacing w:after="40"/>
      </w:pPr>
      <w:r>
        <w:t>Méthodes, outils et gestes professionnels à partir des ancrages pédagogiques suivants : Conception Pédagogique Assistée par IA ; Création de Supports de Formation avec l’IA ; E-learning Adaptatif avec l’IA.</w:t>
      </w:r>
    </w:p>
    <w:p>
      <w:pPr>
        <w:pStyle w:val="ListBullet"/>
        <w:spacing w:after="40"/>
      </w:pPr>
      <w:r>
        <w:t>Cadre de confiance : confidentialité, supervision humaine, validation managériale et critères d’extension.</w:t>
      </w:r>
    </w:p>
    <w:p>
      <w:pPr>
        <w:pStyle w:val="Heading3"/>
        <w:spacing w:before="120" w:after="60"/>
      </w:pPr>
      <w:r>
        <w:t>Jour 2</w:t>
      </w:r>
    </w:p>
    <w:p>
      <w:pPr>
        <w:pStyle w:val="ListBullet"/>
        <w:spacing w:after="40"/>
      </w:pPr>
      <w:r>
        <w:t>Cette journée s’active lorsque la formule 2 jours est retenue.</w:t>
      </w:r>
    </w:p>
    <w:p>
      <w:pPr>
        <w:pStyle w:val="ListBullet"/>
        <w:spacing w:after="40"/>
      </w:pPr>
      <w:r>
        <w:t>Ateliers de conception sur « Tutorat virtuel et assistant apprenant » et « Reporting pédagogique de cohorte ».</w:t>
      </w:r>
    </w:p>
    <w:p>
      <w:pPr>
        <w:pStyle w:val="ListBullet"/>
        <w:spacing w:after="40"/>
      </w:pPr>
      <w:r>
        <w:t>Construction de prompts, trames, routines et scénarios d’usage adaptés au terrain.</w:t>
      </w:r>
    </w:p>
    <w:p>
      <w:pPr>
        <w:pStyle w:val="ListBullet"/>
        <w:spacing w:after="40"/>
      </w:pPr>
      <w:r>
        <w:t>Approfondissements recommandés : Tutorat Virtuel et Assistants IA ; LMS et Plateformes de Formation IA ; Accessibilité et Inclusion avec l’IA.</w:t>
      </w:r>
    </w:p>
    <w:p>
      <w:pPr>
        <w:pStyle w:val="ListBullet"/>
        <w:spacing w:after="40"/>
      </w:pPr>
      <w:r>
        <w:t>Définition du premier pilote, des livrables attendus et des KPI de suivi.</w:t>
      </w:r>
    </w:p>
    <w:p>
      <w:pPr>
        <w:pStyle w:val="ListBullet"/>
        <w:spacing w:after="40"/>
      </w:pPr>
      <w:r>
        <w:t>Plan d’action à 90 jours : séquencement, populations à former, gouvernance et arbitrages de déploiement.</w:t>
      </w:r>
    </w:p>
    <w:p>
      <w:pPr>
        <w:pStyle w:val="Heading2"/>
        <w:spacing w:before="120" w:after="60"/>
      </w:pPr>
      <w:r>
        <w:t>Livrables / attendus</w:t>
      </w:r>
    </w:p>
    <w:p>
      <w:pPr>
        <w:pStyle w:val="ListBullet"/>
        <w:spacing w:after="40"/>
      </w:pPr>
      <w:r>
        <w:t>Une note de cadrage sectorielle pour la formation et la pédagogie avec priorités confirmées, risques et premières décisions.</w:t>
      </w:r>
    </w:p>
    <w:p>
      <w:pPr>
        <w:pStyle w:val="ListBullet"/>
        <w:spacing w:after="40"/>
      </w:pPr>
      <w:r>
        <w:t>Une matrice des cas d’usage prioritaires incluant « Conception de modules et cas pratiques » ; « Personnalisation des parcours » ; « Tutorat virtuel et assistant apprenant » ; « Reporting pédagogique de cohorte ».</w:t>
      </w:r>
    </w:p>
    <w:p>
      <w:pPr>
        <w:pStyle w:val="ListBullet"/>
        <w:spacing w:after="40"/>
      </w:pPr>
      <w:r>
        <w:t>Un canevas de pilote à 90 jours avec KPI, rôles, supervision et critères de succès.</w:t>
      </w:r>
    </w:p>
    <w:p>
      <w:pPr>
        <w:pStyle w:val="ListBullet"/>
        <w:spacing w:after="40"/>
      </w:pPr>
      <w:r>
        <w:t>Une recommandation de parcours de montée en compétences à partir de : Conception Pédagogique Assistée par IA ; Création de Supports de Formation avec l’IA ; E-learning Adaptatif avec l’IA ; Tutorat Virtuel et Assistants IA.</w:t>
      </w:r>
    </w:p>
    <w:p>
      <w:pPr>
        <w:pStyle w:val="Heading2"/>
        <w:spacing w:before="120" w:after="60"/>
      </w:pPr>
      <w:r>
        <w:t>Ancrages pédagogiques recommandés</w:t>
      </w:r>
    </w:p>
    <w:p>
      <w:pPr>
        <w:pStyle w:val="ListBullet"/>
        <w:spacing w:after="40"/>
      </w:pPr>
      <w:r>
        <w:t>Conception Pédagogique Assistée par IA</w:t>
      </w:r>
    </w:p>
    <w:p>
      <w:pPr>
        <w:pStyle w:val="ListBullet"/>
        <w:spacing w:after="40"/>
      </w:pPr>
      <w:r>
        <w:t>Création de Supports de Formation avec l’IA</w:t>
      </w:r>
    </w:p>
    <w:p>
      <w:pPr>
        <w:pStyle w:val="ListBullet"/>
        <w:spacing w:after="40"/>
      </w:pPr>
      <w:r>
        <w:t>E-learning Adaptatif avec l’IA</w:t>
      </w:r>
    </w:p>
    <w:p>
      <w:pPr>
        <w:pStyle w:val="ListBullet"/>
        <w:spacing w:after="40"/>
      </w:pPr>
      <w:r>
        <w:t>Tutorat Virtuel et Assistants IA</w:t>
      </w:r>
    </w:p>
    <w:p>
      <w:pPr>
        <w:pStyle w:val="ListBullet"/>
        <w:spacing w:after="40"/>
      </w:pPr>
      <w:r>
        <w:t>LMS et Plateformes de Formation IA</w:t>
      </w:r>
    </w:p>
    <w:p>
      <w:pPr>
        <w:pStyle w:val="ListBullet"/>
        <w:spacing w:after="40"/>
      </w:pPr>
      <w:r>
        <w:t>Accessibilité et Inclusion avec l’IA</w:t>
      </w:r>
    </w:p>
    <w:p>
      <w:pPr>
        <w:pStyle w:val="Heading2"/>
        <w:spacing w:before="120" w:after="60"/>
      </w:pPr>
      <w:r>
        <w:t>Mention de personnalisation</w:t>
      </w:r>
    </w:p>
    <w:p>
      <w:pPr>
        <w:pStyle w:val="ListBullet"/>
        <w:spacing w:after="40"/>
      </w:pPr>
      <w:r>
        <w:t>Le contenu final est ajusté après qualification du contexte, des outils déjà utilisés, des données disponibles et des arbitrages de confidentialité propres au prospect.</w:t>
      </w:r>
    </w:p>
    <w:p>
      <w:pPr>
        <w:pStyle w:val="Heading1"/>
        <w:spacing w:before="200" w:after="60"/>
      </w:pPr>
      <w:r>
        <w:t>TransferAI - Mini catalogue premium Santé &amp; Bien-être</w:t>
      </w:r>
    </w:p>
    <w:p>
      <w:pPr>
        <w:spacing w:after="120"/>
      </w:pPr>
      <w:r>
        <w:t>Catalogue ciblé par secteur | Formule prioritaire sur mesure | Édition du 2026-06-12</w:t>
      </w:r>
    </w:p>
    <w:p>
      <w:pPr>
        <w:spacing w:after="120"/>
      </w:pPr>
      <w:r>
        <w:t>Ce document est conçu pour des prospects de même univers métier. Il peut être adapté à une organisation précise après audit IA gratuit et échange expert de qualification.</w:t>
      </w:r>
    </w:p>
    <w:p>
      <w:pPr>
        <w:pStyle w:val="Heading1"/>
        <w:spacing w:before="200" w:after="60"/>
      </w:pPr>
      <w:r>
        <w:t>Fiche sectorielle 12 / 16</w:t>
      </w:r>
    </w:p>
    <w:p>
      <w:pPr>
        <w:pStyle w:val="Heading2"/>
        <w:spacing w:before="120" w:after="60"/>
      </w:pPr>
      <w:r>
        <w:t>Domaine de référence</w:t>
      </w:r>
    </w:p>
    <w:p>
      <w:pPr>
        <w:pStyle w:val="ListBullet"/>
        <w:spacing w:after="40"/>
      </w:pPr>
      <w:r>
        <w:t>Santé &amp; Bien-être | Contextes proches : Santé / Clinique ; Santé / Hôpital ; Assurance ; Aide humanitaire / Éducation ; Développement durable</w:t>
      </w:r>
    </w:p>
    <w:p>
      <w:pPr>
        <w:pStyle w:val="Heading2"/>
        <w:spacing w:before="120" w:after="60"/>
      </w:pPr>
      <w:r>
        <w:t>Enjeux sectoriels</w:t>
      </w:r>
    </w:p>
    <w:p>
      <w:pPr>
        <w:pStyle w:val="ListBullet"/>
        <w:spacing w:after="40"/>
      </w:pPr>
      <w:r>
        <w:t>Le bon positionnement ici ne porte pas sur l’acte clinique lui-même. Il porte sur la qualité documentaire, la prévention, la communication et le pilotage des programmes.</w:t>
      </w:r>
    </w:p>
    <w:p>
      <w:pPr>
        <w:pStyle w:val="ListBullet"/>
        <w:spacing w:after="40"/>
      </w:pPr>
      <w:r>
        <w:t>Charge administrative élevée : Rapports, comptes rendus, supports d’information et documents qualité consomment beaucoup de temps. La documentation non clinique gagne en vitesse, en propreté et en homogénéité.</w:t>
      </w:r>
    </w:p>
    <w:p>
      <w:pPr>
        <w:pStyle w:val="ListBullet"/>
        <w:spacing w:after="40"/>
      </w:pPr>
      <w:r>
        <w:t>Prévention et communication peu industrialisées : Les messages de sensibilisation, supports patients ou QVT sont produits lentement et de façon irrégulière. Les campagnes de prévention et fiches d’information sont plus faciles à produire et à adapter.</w:t>
      </w:r>
    </w:p>
    <w:p>
      <w:pPr>
        <w:pStyle w:val="ListBullet"/>
        <w:spacing w:after="40"/>
      </w:pPr>
      <w:r>
        <w:t>Retours terrain sous-exploités : Les verbatims, incidents, questionnaires et remontées terrain sont peu consolidés. Les équipes lisent mieux les signaux faibles et agissent plus tôt sur les irritants récurrents.</w:t>
      </w:r>
    </w:p>
    <w:p>
      <w:pPr>
        <w:pStyle w:val="ListBullet"/>
        <w:spacing w:after="40"/>
      </w:pPr>
      <w:r>
        <w:t>Gouvernance HSE ou QVT diffuse : Les responsables peinent à structurer les pratiques et à diffuser les standards. Les programmes gagnent en cohérence, en traçabilité et en cadre documentaire.</w:t>
      </w:r>
    </w:p>
    <w:p>
      <w:pPr>
        <w:pStyle w:val="Heading2"/>
        <w:spacing w:before="120" w:after="60"/>
      </w:pPr>
      <w:r>
        <w:t>Contexte secteur à confirmer</w:t>
      </w:r>
    </w:p>
    <w:p>
      <w:pPr>
        <w:pStyle w:val="ListBullet"/>
        <w:spacing w:after="40"/>
      </w:pPr>
      <w:r>
        <w:t>Exemples de contextes proches : Santé / Clinique ; Santé / Hôpital ; Assurance ; Aide humanitaire / Éducation ; Développement durable.</w:t>
      </w:r>
    </w:p>
    <w:p>
      <w:pPr>
        <w:pStyle w:val="ListBullet"/>
        <w:spacing w:after="40"/>
      </w:pPr>
      <w:r>
        <w:t>Les enjeux confirmés au cadrage doivent être reliés à des priorités visibles pour la santé et le bien-être.</w:t>
      </w:r>
    </w:p>
    <w:p>
      <w:pPr>
        <w:pStyle w:val="ListBullet"/>
        <w:spacing w:after="40"/>
      </w:pPr>
      <w:r>
        <w:t>Le périmètre à confirmer peut concerner un site pilote, une direction donnée, une équipe support ou un processus transverse.</w:t>
      </w:r>
    </w:p>
    <w:p>
      <w:pPr>
        <w:pStyle w:val="ListBullet"/>
        <w:spacing w:after="40"/>
      </w:pPr>
      <w:r>
        <w:t>Les cas d’usage retenus doivent être validés selon les données disponibles, les règles de confidentialité et la capacité de supervision humaine.</w:t>
      </w:r>
    </w:p>
    <w:p>
      <w:pPr>
        <w:pStyle w:val="Heading2"/>
        <w:spacing w:before="120" w:after="60"/>
      </w:pPr>
      <w:r>
        <w:t>Cas d’usage TransferAI mis en avant</w:t>
      </w:r>
    </w:p>
    <w:p>
      <w:pPr>
        <w:pStyle w:val="ListBullet"/>
        <w:spacing w:after="40"/>
      </w:pPr>
      <w:r>
        <w:rPr>
          <w:b/>
        </w:rPr>
        <w:t>Documentation qualité et rapports non cliniques</w:t>
      </w:r>
      <w:r>
        <w:t xml:space="preserve"> : Les rapports et supports gagnent en vitesse de préparation et en cohérence documentaire. KPI de référence : Temps de rédaction ; nombre de documents conformes.</w:t>
      </w:r>
    </w:p>
    <w:p>
      <w:pPr>
        <w:pStyle w:val="ListBullet"/>
        <w:spacing w:after="40"/>
      </w:pPr>
      <w:r>
        <w:rPr>
          <w:b/>
        </w:rPr>
        <w:t>Prévention, sensibilisation et messages patients</w:t>
      </w:r>
      <w:r>
        <w:t xml:space="preserve"> : Les supports éducatifs et messages de sensibilisation se déclinent plus vite selon les publics. KPI de référence : Temps de production ; portée ou engagement.</w:t>
      </w:r>
    </w:p>
    <w:p>
      <w:pPr>
        <w:pStyle w:val="ListBullet"/>
        <w:spacing w:after="40"/>
      </w:pPr>
      <w:r>
        <w:rPr>
          <w:b/>
        </w:rPr>
        <w:t>Analyse des retours et incidents</w:t>
      </w:r>
      <w:r>
        <w:t xml:space="preserve"> : Les responsables relisent plus vite les motifs récurrents et les points de vigilance. KPI de référence : Temps d’analyse ; nombre d’actions correctives.</w:t>
      </w:r>
    </w:p>
    <w:p>
      <w:pPr>
        <w:pStyle w:val="ListBullet"/>
        <w:spacing w:after="40"/>
      </w:pPr>
      <w:r>
        <w:rPr>
          <w:b/>
        </w:rPr>
        <w:t>Pilotage QVT / HSE</w:t>
      </w:r>
      <w:r>
        <w:t xml:space="preserve"> : Les indicateurs, plans d’action et pratiques gagnent en continuité et en visibilité. KPI de référence : Rythme de mise à jour ; visibilité des plans d’action.</w:t>
      </w:r>
    </w:p>
    <w:p>
      <w:pPr>
        <w:pStyle w:val="Heading1"/>
        <w:spacing w:before="200" w:after="60"/>
      </w:pPr>
      <w:r>
        <w:t>Formule prioritaire recommandée</w:t>
      </w:r>
    </w:p>
    <w:p>
      <w:pPr>
        <w:pStyle w:val="Heading2"/>
        <w:spacing w:before="120" w:after="60"/>
      </w:pPr>
      <w:r>
        <w:t>Intitulé</w:t>
      </w:r>
    </w:p>
    <w:p>
      <w:pPr>
        <w:pStyle w:val="ListBullet"/>
        <w:spacing w:after="40"/>
      </w:pPr>
      <w:r>
        <w:t>Bootcamp IA sectoriel Santé &amp; Bien-être : de l’acculturation utile au premier pilote mesurable</w:t>
      </w:r>
    </w:p>
    <w:p>
      <w:pPr>
        <w:pStyle w:val="Heading2"/>
        <w:spacing w:before="120" w:after="60"/>
      </w:pPr>
      <w:r>
        <w:t>Public cible</w:t>
      </w:r>
    </w:p>
    <w:p>
      <w:pPr>
        <w:pStyle w:val="ListBullet"/>
        <w:spacing w:after="40"/>
      </w:pPr>
      <w:r>
        <w:t>Directions d’établissements, coordination soignante, accueil, patient experience, support</w:t>
      </w:r>
    </w:p>
    <w:p>
      <w:pPr>
        <w:pStyle w:val="Heading2"/>
        <w:spacing w:before="120" w:after="60"/>
      </w:pPr>
      <w:r>
        <w:t>Formats possibles</w:t>
      </w:r>
    </w:p>
    <w:p>
      <w:pPr>
        <w:pStyle w:val="ListBullet"/>
        <w:spacing w:after="40"/>
      </w:pPr>
      <w:r>
        <w:t>Présentiel</w:t>
      </w:r>
    </w:p>
    <w:p>
      <w:pPr>
        <w:pStyle w:val="ListBullet"/>
        <w:spacing w:after="40"/>
      </w:pPr>
      <w:r>
        <w:t>Hybride</w:t>
      </w:r>
    </w:p>
    <w:p>
      <w:pPr>
        <w:pStyle w:val="ListBullet"/>
        <w:spacing w:after="40"/>
      </w:pPr>
      <w:r>
        <w:t>En ligne (style webinaire)</w:t>
      </w:r>
    </w:p>
    <w:p>
      <w:pPr>
        <w:pStyle w:val="Heading2"/>
        <w:spacing w:before="120" w:after="60"/>
      </w:pPr>
      <w:r>
        <w:t>Niveaux</w:t>
      </w:r>
    </w:p>
    <w:p>
      <w:pPr>
        <w:pStyle w:val="ListBullet"/>
        <w:spacing w:after="40"/>
      </w:pPr>
      <w:r>
        <w:t>Débutant</w:t>
      </w:r>
    </w:p>
    <w:p>
      <w:pPr>
        <w:pStyle w:val="ListBullet"/>
        <w:spacing w:after="40"/>
      </w:pPr>
      <w:r>
        <w:t>Intermédiaire</w:t>
      </w:r>
    </w:p>
    <w:p>
      <w:pPr>
        <w:pStyle w:val="ListBullet"/>
        <w:spacing w:after="40"/>
      </w:pPr>
      <w:r>
        <w:t>Avancé</w:t>
      </w:r>
    </w:p>
    <w:p>
      <w:pPr>
        <w:pStyle w:val="Heading2"/>
        <w:spacing w:before="120" w:after="60"/>
      </w:pPr>
      <w:r>
        <w:t>Durée</w:t>
      </w:r>
    </w:p>
    <w:p>
      <w:pPr>
        <w:pStyle w:val="ListBullet"/>
        <w:spacing w:after="40"/>
      </w:pPr>
      <w:r>
        <w:t>1 jour : version décideurs et managers</w:t>
      </w:r>
    </w:p>
    <w:p>
      <w:pPr>
        <w:pStyle w:val="ListBullet"/>
        <w:spacing w:after="40"/>
      </w:pPr>
      <w:r>
        <w:t>2 jours : version équipes, managers et mise en pratique</w:t>
      </w:r>
    </w:p>
    <w:p>
      <w:pPr>
        <w:pStyle w:val="Heading2"/>
        <w:spacing w:before="120" w:after="60"/>
      </w:pPr>
      <w:r>
        <w:t>Tarif</w:t>
      </w:r>
    </w:p>
    <w:p>
      <w:pPr>
        <w:pStyle w:val="ListBullet"/>
        <w:spacing w:after="40"/>
      </w:pPr>
      <w:r>
        <w:t>Prix sur demande</w:t>
      </w:r>
    </w:p>
    <w:p>
      <w:pPr>
        <w:pStyle w:val="Heading2"/>
        <w:spacing w:before="120" w:after="60"/>
      </w:pPr>
      <w:r>
        <w:t>Résultats attendus</w:t>
      </w:r>
    </w:p>
    <w:p>
      <w:pPr>
        <w:pStyle w:val="ListBullet"/>
        <w:spacing w:after="40"/>
      </w:pPr>
      <w:r>
        <w:t>25 à 45 % sur la documentation (rapports, fiches, supports, synthèses).</w:t>
      </w:r>
    </w:p>
    <w:p>
      <w:pPr>
        <w:pStyle w:val="ListBullet"/>
        <w:spacing w:after="40"/>
      </w:pPr>
      <w:r>
        <w:t>Campagnes plus rapides de prévention (supports, scripts, messages).</w:t>
      </w:r>
    </w:p>
    <w:p>
      <w:pPr>
        <w:pStyle w:val="ListBullet"/>
        <w:spacing w:after="40"/>
      </w:pPr>
      <w:r>
        <w:t>Lecture plus utile des retours terrain (incidents, satisfaction, signaux faibles).</w:t>
      </w:r>
    </w:p>
    <w:p>
      <w:pPr>
        <w:pStyle w:val="ListBullet"/>
        <w:spacing w:after="40"/>
      </w:pPr>
      <w:r>
        <w:t>Cadre plus homogène sur HSE et QVT (pratiques, messages, standards).</w:t>
      </w:r>
    </w:p>
    <w:p>
      <w:pPr>
        <w:pStyle w:val="ListBullet"/>
        <w:spacing w:after="40"/>
      </w:pPr>
      <w:r>
        <w:t>Une feuille de route claire sur les deux premiers cas d’usage à lancer dans la santé et le bien-être.</w:t>
      </w:r>
    </w:p>
    <w:p>
      <w:pPr>
        <w:pStyle w:val="ListBullet"/>
        <w:spacing w:after="40"/>
      </w:pPr>
      <w:r>
        <w:t>Une meilleure capacité à relier formation, gouvernance, pilote et retour sur investissement visible.</w:t>
      </w:r>
    </w:p>
    <w:p>
      <w:pPr>
        <w:pStyle w:val="Heading2"/>
        <w:spacing w:before="120" w:after="60"/>
      </w:pPr>
      <w:r>
        <w:t>Objectifs pédagogiques</w:t>
      </w:r>
    </w:p>
    <w:p>
      <w:pPr>
        <w:pStyle w:val="ListBullet"/>
        <w:spacing w:after="40"/>
      </w:pPr>
      <w:r>
        <w:t>Identifier les priorités métier les plus crédibles à traiter par l’IA dans la santé et le bien-être.</w:t>
      </w:r>
    </w:p>
    <w:p>
      <w:pPr>
        <w:pStyle w:val="ListBullet"/>
        <w:spacing w:after="40"/>
      </w:pPr>
      <w:r>
        <w:t>Savoir structurer et piloter le cas d’usage « Documentation qualité et rapports non cliniques ».</w:t>
      </w:r>
    </w:p>
    <w:p>
      <w:pPr>
        <w:pStyle w:val="ListBullet"/>
        <w:spacing w:after="40"/>
      </w:pPr>
      <w:r>
        <w:t>Savoir structurer et piloter le cas d’usage « Prévention, sensibilisation et messages patients ».</w:t>
      </w:r>
    </w:p>
    <w:p>
      <w:pPr>
        <w:pStyle w:val="ListBullet"/>
        <w:spacing w:after="40"/>
      </w:pPr>
      <w:r>
        <w:t>Savoir structurer et piloter le cas d’usage « Analyse des retours et incidents ».</w:t>
      </w:r>
    </w:p>
    <w:p>
      <w:pPr>
        <w:pStyle w:val="ListBullet"/>
        <w:spacing w:after="40"/>
      </w:pPr>
      <w:r>
        <w:t>Distinguer les usages immédiatement activables, les usages à encadrer et les usages à piloter dans le temps.</w:t>
      </w:r>
    </w:p>
    <w:p>
      <w:pPr>
        <w:pStyle w:val="ListBullet"/>
        <w:spacing w:after="40"/>
      </w:pPr>
      <w:r>
        <w:t>Définir des KPI simples, un cadre de confiance et un premier plan d’action à 90 jours.</w:t>
      </w:r>
    </w:p>
    <w:p>
      <w:pPr>
        <w:pStyle w:val="Heading2"/>
        <w:spacing w:before="120" w:after="60"/>
      </w:pPr>
      <w:r>
        <w:t>Programme</w:t>
      </w:r>
    </w:p>
    <w:p>
      <w:pPr>
        <w:pStyle w:val="Heading3"/>
        <w:spacing w:before="120" w:after="60"/>
      </w:pPr>
      <w:r>
        <w:t>Jour 1</w:t>
      </w:r>
    </w:p>
    <w:p>
      <w:pPr>
        <w:pStyle w:val="ListBullet"/>
        <w:spacing w:after="40"/>
      </w:pPr>
      <w:r>
        <w:t>Lecture des enjeux sectoriels : Le bon positionnement ici ne porte pas sur l’acte clinique lui-même. Il porte sur la qualité documentaire, la prévention, la communication et le pilotage des programmes.</w:t>
      </w:r>
    </w:p>
    <w:p>
      <w:pPr>
        <w:pStyle w:val="ListBullet"/>
        <w:spacing w:after="40"/>
      </w:pPr>
      <w:r>
        <w:t>Cartographie des priorités métier confirmées : Charge administrative élevée ; Prévention et communication peu industrialisées ; Retours terrain sous-exploités.</w:t>
      </w:r>
    </w:p>
    <w:p>
      <w:pPr>
        <w:pStyle w:val="ListBullet"/>
        <w:spacing w:after="40"/>
      </w:pPr>
      <w:r>
        <w:t>Études de cas guidées autour de « Documentation qualité et rapports non cliniques » et « Prévention, sensibilisation et messages patients ».</w:t>
      </w:r>
    </w:p>
    <w:p>
      <w:pPr>
        <w:pStyle w:val="ListBullet"/>
        <w:spacing w:after="40"/>
      </w:pPr>
      <w:r>
        <w:t>Méthodes, outils et gestes professionnels à partir des ancrages pédagogiques suivants : Prévention des Risques Professionnels avec l’IA ; Programmes de Santé au Travail avec l’IA ; QVT et IA : Qualité de Vie au Travail.</w:t>
      </w:r>
    </w:p>
    <w:p>
      <w:pPr>
        <w:pStyle w:val="ListBullet"/>
        <w:spacing w:after="40"/>
      </w:pPr>
      <w:r>
        <w:t>Cadre de confiance : confidentialité, supervision humaine, validation managériale et critères d’extension.</w:t>
      </w:r>
    </w:p>
    <w:p>
      <w:pPr>
        <w:pStyle w:val="Heading3"/>
        <w:spacing w:before="120" w:after="60"/>
      </w:pPr>
      <w:r>
        <w:t>Jour 2</w:t>
      </w:r>
    </w:p>
    <w:p>
      <w:pPr>
        <w:pStyle w:val="ListBullet"/>
        <w:spacing w:after="40"/>
      </w:pPr>
      <w:r>
        <w:t>Cette journée s’active lorsque la formule 2 jours est retenue.</w:t>
      </w:r>
    </w:p>
    <w:p>
      <w:pPr>
        <w:pStyle w:val="ListBullet"/>
        <w:spacing w:after="40"/>
      </w:pPr>
      <w:r>
        <w:t>Ateliers de conception sur « Analyse des retours et incidents » et « Pilotage QVT / HSE ».</w:t>
      </w:r>
    </w:p>
    <w:p>
      <w:pPr>
        <w:pStyle w:val="ListBullet"/>
        <w:spacing w:after="40"/>
      </w:pPr>
      <w:r>
        <w:t>Construction de prompts, trames, routines et scénarios d’usage adaptés au terrain.</w:t>
      </w:r>
    </w:p>
    <w:p>
      <w:pPr>
        <w:pStyle w:val="ListBullet"/>
        <w:spacing w:after="40"/>
      </w:pPr>
      <w:r>
        <w:t>Approfondissements recommandés : Conformité HSE et IA ; Gestion des Accidents du Travail avec l’IA ; Télémédecine et IA en Entreprise.</w:t>
      </w:r>
    </w:p>
    <w:p>
      <w:pPr>
        <w:pStyle w:val="ListBullet"/>
        <w:spacing w:after="40"/>
      </w:pPr>
      <w:r>
        <w:t>Définition du premier pilote, des livrables attendus et des KPI de suivi.</w:t>
      </w:r>
    </w:p>
    <w:p>
      <w:pPr>
        <w:pStyle w:val="ListBullet"/>
        <w:spacing w:after="40"/>
      </w:pPr>
      <w:r>
        <w:t>Plan d’action à 90 jours : séquencement, populations à former, gouvernance et arbitrages de déploiement.</w:t>
      </w:r>
    </w:p>
    <w:p>
      <w:pPr>
        <w:pStyle w:val="Heading2"/>
        <w:spacing w:before="120" w:after="60"/>
      </w:pPr>
      <w:r>
        <w:t>Livrables / attendus</w:t>
      </w:r>
    </w:p>
    <w:p>
      <w:pPr>
        <w:pStyle w:val="ListBullet"/>
        <w:spacing w:after="40"/>
      </w:pPr>
      <w:r>
        <w:t>Une note de cadrage sectorielle pour la santé et le bien-être avec priorités confirmées, risques et premières décisions.</w:t>
      </w:r>
    </w:p>
    <w:p>
      <w:pPr>
        <w:pStyle w:val="ListBullet"/>
        <w:spacing w:after="40"/>
      </w:pPr>
      <w:r>
        <w:t>Une matrice des cas d’usage prioritaires incluant « Documentation qualité et rapports non cliniques » ; « Prévention, sensibilisation et messages patients » ; « Analyse des retours et incidents » ; « Pilotage QVT / HSE ».</w:t>
      </w:r>
    </w:p>
    <w:p>
      <w:pPr>
        <w:pStyle w:val="ListBullet"/>
        <w:spacing w:after="40"/>
      </w:pPr>
      <w:r>
        <w:t>Un canevas de pilote à 90 jours avec KPI, rôles, supervision et critères de succès.</w:t>
      </w:r>
    </w:p>
    <w:p>
      <w:pPr>
        <w:pStyle w:val="ListBullet"/>
        <w:spacing w:after="40"/>
      </w:pPr>
      <w:r>
        <w:t>Une recommandation de parcours de montée en compétences à partir de : Prévention des Risques Professionnels avec l’IA ; Programmes de Santé au Travail avec l’IA ; QVT et IA : Qualité de Vie au Travail ; Conformité HSE et IA.</w:t>
      </w:r>
    </w:p>
    <w:p>
      <w:pPr>
        <w:pStyle w:val="Heading2"/>
        <w:spacing w:before="120" w:after="60"/>
      </w:pPr>
      <w:r>
        <w:t>Ancrages pédagogiques recommandés</w:t>
      </w:r>
    </w:p>
    <w:p>
      <w:pPr>
        <w:pStyle w:val="ListBullet"/>
        <w:spacing w:after="40"/>
      </w:pPr>
      <w:r>
        <w:t>Prévention des Risques Professionnels avec l’IA</w:t>
      </w:r>
    </w:p>
    <w:p>
      <w:pPr>
        <w:pStyle w:val="ListBullet"/>
        <w:spacing w:after="40"/>
      </w:pPr>
      <w:r>
        <w:t>Programmes de Santé au Travail avec l’IA</w:t>
      </w:r>
    </w:p>
    <w:p>
      <w:pPr>
        <w:pStyle w:val="ListBullet"/>
        <w:spacing w:after="40"/>
      </w:pPr>
      <w:r>
        <w:t>QVT et IA : Qualité de Vie au Travail</w:t>
      </w:r>
    </w:p>
    <w:p>
      <w:pPr>
        <w:pStyle w:val="ListBullet"/>
        <w:spacing w:after="40"/>
      </w:pPr>
      <w:r>
        <w:t>Conformité HSE et IA</w:t>
      </w:r>
    </w:p>
    <w:p>
      <w:pPr>
        <w:pStyle w:val="ListBullet"/>
        <w:spacing w:after="40"/>
      </w:pPr>
      <w:r>
        <w:t>Gestion des Accidents du Travail avec l’IA</w:t>
      </w:r>
    </w:p>
    <w:p>
      <w:pPr>
        <w:pStyle w:val="ListBullet"/>
        <w:spacing w:after="40"/>
      </w:pPr>
      <w:r>
        <w:t>Télémédecine et IA en Entreprise</w:t>
      </w:r>
    </w:p>
    <w:p>
      <w:pPr>
        <w:pStyle w:val="Heading2"/>
        <w:spacing w:before="120" w:after="60"/>
      </w:pPr>
      <w:r>
        <w:t>Mention de personnalisation</w:t>
      </w:r>
    </w:p>
    <w:p>
      <w:pPr>
        <w:pStyle w:val="ListBullet"/>
        <w:spacing w:after="40"/>
      </w:pPr>
      <w:r>
        <w:t>Le contenu final est ajusté après qualification du contexte, des outils déjà utilisés, des données disponibles et des arbitrages de confidentialité propres au prospect.</w:t>
      </w:r>
    </w:p>
    <w:p>
      <w:pPr>
        <w:pStyle w:val="Heading1"/>
        <w:spacing w:before="200" w:after="60"/>
      </w:pPr>
      <w:r>
        <w:t>TransferAI - Mini catalogue premium Diplomatie &amp; Affaires Internationales</w:t>
      </w:r>
    </w:p>
    <w:p>
      <w:pPr>
        <w:spacing w:after="120"/>
      </w:pPr>
      <w:r>
        <w:t>Catalogue ciblé par secteur | Formule prioritaire sur mesure | Édition du 2026-06-12</w:t>
      </w:r>
    </w:p>
    <w:p>
      <w:pPr>
        <w:spacing w:after="120"/>
      </w:pPr>
      <w:r>
        <w:t>Ce document est conçu pour des prospects de même univers métier. Il peut être adapté à une organisation précise après audit IA gratuit et échange expert de qualification.</w:t>
      </w:r>
    </w:p>
    <w:p>
      <w:pPr>
        <w:pStyle w:val="Heading1"/>
        <w:spacing w:before="200" w:after="60"/>
      </w:pPr>
      <w:r>
        <w:t>Fiche sectorielle 13 / 16</w:t>
      </w:r>
    </w:p>
    <w:p>
      <w:pPr>
        <w:pStyle w:val="Heading2"/>
        <w:spacing w:before="120" w:after="60"/>
      </w:pPr>
      <w:r>
        <w:t>Domaine de référence</w:t>
      </w:r>
    </w:p>
    <w:p>
      <w:pPr>
        <w:pStyle w:val="ListBullet"/>
        <w:spacing w:after="40"/>
      </w:pPr>
      <w:r>
        <w:t>Diplomatie &amp; Affaires Internationales | Contextes proches : Institution régionale ; Finance / Développement ; Développement durable ; Administration publique ; Aide humanitaire / Éducation</w:t>
      </w:r>
    </w:p>
    <w:p>
      <w:pPr>
        <w:pStyle w:val="Heading2"/>
        <w:spacing w:before="120" w:after="60"/>
      </w:pPr>
      <w:r>
        <w:t>Enjeux sectoriels</w:t>
      </w:r>
    </w:p>
    <w:p>
      <w:pPr>
        <w:pStyle w:val="ListBullet"/>
        <w:spacing w:after="40"/>
      </w:pPr>
      <w:r>
        <w:t>La vraie promesse ici n’est pas de déléguer le jugement diplomatique. C’est de réduire le temps de préparation, de veille et de coordination documentaire autour de dossiers complexes.</w:t>
      </w:r>
    </w:p>
    <w:p>
      <w:pPr>
        <w:pStyle w:val="ListBullet"/>
        <w:spacing w:after="40"/>
      </w:pPr>
      <w:r>
        <w:t>Veille trop gourmande en temps : Suivre plusieurs pays, secteurs, régulations et partenaires demande beaucoup de collecte et de tri. Les notes de veille et résumés préparatoires sont produits plus vite et plus régulièrement.</w:t>
      </w:r>
    </w:p>
    <w:p>
      <w:pPr>
        <w:pStyle w:val="ListBullet"/>
        <w:spacing w:after="40"/>
      </w:pPr>
      <w:r>
        <w:t>Briefings et missions difficiles à préparer : Les fiches pays, éléments de langage et synthèses de rendez-vous prennent du temps avant chaque déplacement ou forum. La préparation devient plus structurée, plus rapide et plus partageable.</w:t>
      </w:r>
    </w:p>
    <w:p>
      <w:pPr>
        <w:pStyle w:val="ListBullet"/>
        <w:spacing w:after="40"/>
      </w:pPr>
      <w:r>
        <w:t>Travail multilingue dispersé : Les contenus circulent en plusieurs langues sans synthèse stable entre équipes. Les documents sont plus faciles à résumer, traduire et diffuser avec méthode.</w:t>
      </w:r>
    </w:p>
    <w:p>
      <w:pPr>
        <w:pStyle w:val="ListBullet"/>
        <w:spacing w:after="40"/>
      </w:pPr>
      <w:r>
        <w:t>Coordination institutionnelle lente : Les contributions et arbitrages se consolident difficilement entre directions ou partenaires. Les synthèses et notes de convergence deviennent plus lisibles et plus rapides à partager.</w:t>
      </w:r>
    </w:p>
    <w:p>
      <w:pPr>
        <w:pStyle w:val="Heading2"/>
        <w:spacing w:before="120" w:after="60"/>
      </w:pPr>
      <w:r>
        <w:t>Contexte secteur à confirmer</w:t>
      </w:r>
    </w:p>
    <w:p>
      <w:pPr>
        <w:pStyle w:val="ListBullet"/>
        <w:spacing w:after="40"/>
      </w:pPr>
      <w:r>
        <w:t>Exemples de contextes proches : Institution régionale ; Finance / Développement ; Développement durable ; Administration publique ; Aide humanitaire / Éducation.</w:t>
      </w:r>
    </w:p>
    <w:p>
      <w:pPr>
        <w:pStyle w:val="ListBullet"/>
        <w:spacing w:after="40"/>
      </w:pPr>
      <w:r>
        <w:t>Les enjeux confirmés au cadrage doivent être reliés à des priorités visibles pour la diplomatie et les affaires internationales.</w:t>
      </w:r>
    </w:p>
    <w:p>
      <w:pPr>
        <w:pStyle w:val="ListBullet"/>
        <w:spacing w:after="40"/>
      </w:pPr>
      <w:r>
        <w:t>Le périmètre à confirmer peut concerner un site pilote, une direction donnée, une équipe support ou un processus transverse.</w:t>
      </w:r>
    </w:p>
    <w:p>
      <w:pPr>
        <w:pStyle w:val="ListBullet"/>
        <w:spacing w:after="40"/>
      </w:pPr>
      <w:r>
        <w:t>Les cas d’usage retenus doivent être validés selon les données disponibles, les règles de confidentialité et la capacité de supervision humaine.</w:t>
      </w:r>
    </w:p>
    <w:p>
      <w:pPr>
        <w:pStyle w:val="Heading2"/>
        <w:spacing w:before="120" w:after="60"/>
      </w:pPr>
      <w:r>
        <w:t>Cas d’usage TransferAI mis en avant</w:t>
      </w:r>
    </w:p>
    <w:p>
      <w:pPr>
        <w:pStyle w:val="ListBullet"/>
        <w:spacing w:after="40"/>
      </w:pPr>
      <w:r>
        <w:rPr>
          <w:b/>
        </w:rPr>
        <w:t>Veille pays et sectorielle</w:t>
      </w:r>
      <w:r>
        <w:t xml:space="preserve"> : Les équipes disposent plus vite d’une lecture consolidée des signaux, partenaires et risques. KPI de référence : Temps de production d’une note ; fréquence de veille.</w:t>
      </w:r>
    </w:p>
    <w:p>
      <w:pPr>
        <w:pStyle w:val="ListBullet"/>
        <w:spacing w:after="40"/>
      </w:pPr>
      <w:r>
        <w:rPr>
          <w:b/>
        </w:rPr>
        <w:t>Briefings, missions et rendez-vous</w:t>
      </w:r>
      <w:r>
        <w:t xml:space="preserve"> : Les fiches, synthèses et éléments de langage sont préparés plus vite et plus proprement. KPI de référence : Temps de préparation ; délai de diffusion du briefing.</w:t>
      </w:r>
    </w:p>
    <w:p>
      <w:pPr>
        <w:pStyle w:val="ListBullet"/>
        <w:spacing w:after="40"/>
      </w:pPr>
      <w:r>
        <w:rPr>
          <w:b/>
        </w:rPr>
        <w:t>Synthèse multilingue et coopération</w:t>
      </w:r>
      <w:r>
        <w:t xml:space="preserve"> : Les notes circulent plus vite grâce à des résumés et reformulations mieux structurés. KPI de référence : Délai de diffusion ; nombre de documents traités.</w:t>
      </w:r>
    </w:p>
    <w:p>
      <w:pPr>
        <w:pStyle w:val="ListBullet"/>
        <w:spacing w:after="40"/>
      </w:pPr>
      <w:r>
        <w:rPr>
          <w:b/>
        </w:rPr>
        <w:t>Gouvernance et technologies émergentes</w:t>
      </w:r>
      <w:r>
        <w:t xml:space="preserve"> : Les décideurs disposent d’une lecture plus claire des enjeux, positions et options d’action. KPI de référence : Temps de cadrage ; nombre de notes ou positions préparées.</w:t>
      </w:r>
    </w:p>
    <w:p>
      <w:pPr>
        <w:pStyle w:val="Heading1"/>
        <w:spacing w:before="200" w:after="60"/>
      </w:pPr>
      <w:r>
        <w:t>Formule prioritaire recommandée</w:t>
      </w:r>
    </w:p>
    <w:p>
      <w:pPr>
        <w:pStyle w:val="Heading2"/>
        <w:spacing w:before="120" w:after="60"/>
      </w:pPr>
      <w:r>
        <w:t>Intitulé</w:t>
      </w:r>
    </w:p>
    <w:p>
      <w:pPr>
        <w:pStyle w:val="ListBullet"/>
        <w:spacing w:after="40"/>
      </w:pPr>
      <w:r>
        <w:t>Bootcamp IA sectoriel Diplomatie &amp; Affaires Internationales : de l’acculturation utile au premier pilote mesurable</w:t>
      </w:r>
    </w:p>
    <w:p>
      <w:pPr>
        <w:pStyle w:val="Heading2"/>
        <w:spacing w:before="120" w:after="60"/>
      </w:pPr>
      <w:r>
        <w:t>Public cible</w:t>
      </w:r>
    </w:p>
    <w:p>
      <w:pPr>
        <w:pStyle w:val="ListBullet"/>
        <w:spacing w:after="40"/>
      </w:pPr>
      <w:r>
        <w:t>Affaires publiques, coopération internationale, organisations régionales, cellules diplomatiques, direction pays</w:t>
      </w:r>
    </w:p>
    <w:p>
      <w:pPr>
        <w:pStyle w:val="Heading2"/>
        <w:spacing w:before="120" w:after="60"/>
      </w:pPr>
      <w:r>
        <w:t>Formats possibles</w:t>
      </w:r>
    </w:p>
    <w:p>
      <w:pPr>
        <w:pStyle w:val="ListBullet"/>
        <w:spacing w:after="40"/>
      </w:pPr>
      <w:r>
        <w:t>Présentiel</w:t>
      </w:r>
    </w:p>
    <w:p>
      <w:pPr>
        <w:pStyle w:val="ListBullet"/>
        <w:spacing w:after="40"/>
      </w:pPr>
      <w:r>
        <w:t>Hybride</w:t>
      </w:r>
    </w:p>
    <w:p>
      <w:pPr>
        <w:pStyle w:val="ListBullet"/>
        <w:spacing w:after="40"/>
      </w:pPr>
      <w:r>
        <w:t>En ligne (style webinaire)</w:t>
      </w:r>
    </w:p>
    <w:p>
      <w:pPr>
        <w:pStyle w:val="Heading2"/>
        <w:spacing w:before="120" w:after="60"/>
      </w:pPr>
      <w:r>
        <w:t>Niveaux</w:t>
      </w:r>
    </w:p>
    <w:p>
      <w:pPr>
        <w:pStyle w:val="ListBullet"/>
        <w:spacing w:after="40"/>
      </w:pPr>
      <w:r>
        <w:t>Débutant</w:t>
      </w:r>
    </w:p>
    <w:p>
      <w:pPr>
        <w:pStyle w:val="ListBullet"/>
        <w:spacing w:after="40"/>
      </w:pPr>
      <w:r>
        <w:t>Intermédiaire</w:t>
      </w:r>
    </w:p>
    <w:p>
      <w:pPr>
        <w:pStyle w:val="ListBullet"/>
        <w:spacing w:after="40"/>
      </w:pPr>
      <w:r>
        <w:t>Avancé</w:t>
      </w:r>
    </w:p>
    <w:p>
      <w:pPr>
        <w:pStyle w:val="Heading2"/>
        <w:spacing w:before="120" w:after="60"/>
      </w:pPr>
      <w:r>
        <w:t>Durée</w:t>
      </w:r>
    </w:p>
    <w:p>
      <w:pPr>
        <w:pStyle w:val="ListBullet"/>
        <w:spacing w:after="40"/>
      </w:pPr>
      <w:r>
        <w:t>1 jour : version décideurs et managers</w:t>
      </w:r>
    </w:p>
    <w:p>
      <w:pPr>
        <w:pStyle w:val="ListBullet"/>
        <w:spacing w:after="40"/>
      </w:pPr>
      <w:r>
        <w:t>2 jours : version équipes, managers et mise en pratique</w:t>
      </w:r>
    </w:p>
    <w:p>
      <w:pPr>
        <w:pStyle w:val="Heading2"/>
        <w:spacing w:before="120" w:after="60"/>
      </w:pPr>
      <w:r>
        <w:t>Tarif</w:t>
      </w:r>
    </w:p>
    <w:p>
      <w:pPr>
        <w:pStyle w:val="ListBullet"/>
        <w:spacing w:after="40"/>
      </w:pPr>
      <w:r>
        <w:t>Prix sur demande</w:t>
      </w:r>
    </w:p>
    <w:p>
      <w:pPr>
        <w:pStyle w:val="Heading2"/>
        <w:spacing w:before="120" w:after="60"/>
      </w:pPr>
      <w:r>
        <w:t>Résultats attendus</w:t>
      </w:r>
    </w:p>
    <w:p>
      <w:pPr>
        <w:pStyle w:val="ListBullet"/>
        <w:spacing w:after="40"/>
      </w:pPr>
      <w:r>
        <w:t>Veille beaucoup plus rapide sur plusieurs zones (pays, secteurs, risques, opportunités).</w:t>
      </w:r>
    </w:p>
    <w:p>
      <w:pPr>
        <w:pStyle w:val="ListBullet"/>
        <w:spacing w:after="40"/>
      </w:pPr>
      <w:r>
        <w:t>Briefings prêts plus tôt avant missions (fiches, notes, éléments de langage).</w:t>
      </w:r>
    </w:p>
    <w:p>
      <w:pPr>
        <w:pStyle w:val="ListBullet"/>
        <w:spacing w:after="40"/>
      </w:pPr>
      <w:r>
        <w:t>Coordination facilitée entre équipes (synthèses et documents multilingues).</w:t>
      </w:r>
    </w:p>
    <w:p>
      <w:pPr>
        <w:pStyle w:val="ListBullet"/>
        <w:spacing w:after="40"/>
      </w:pPr>
      <w:r>
        <w:t>Temps administratif réduit sur la préparation (collecte, lecture, reformulation).</w:t>
      </w:r>
    </w:p>
    <w:p>
      <w:pPr>
        <w:pStyle w:val="ListBullet"/>
        <w:spacing w:after="40"/>
      </w:pPr>
      <w:r>
        <w:t>Une feuille de route claire sur les deux premiers cas d’usage à lancer dans la diplomatie et les affaires internationales.</w:t>
      </w:r>
    </w:p>
    <w:p>
      <w:pPr>
        <w:pStyle w:val="ListBullet"/>
        <w:spacing w:after="40"/>
      </w:pPr>
      <w:r>
        <w:t>Une meilleure capacité à relier formation, gouvernance, pilote et retour sur investissement visible.</w:t>
      </w:r>
    </w:p>
    <w:p>
      <w:pPr>
        <w:pStyle w:val="Heading2"/>
        <w:spacing w:before="120" w:after="60"/>
      </w:pPr>
      <w:r>
        <w:t>Objectifs pédagogiques</w:t>
      </w:r>
    </w:p>
    <w:p>
      <w:pPr>
        <w:pStyle w:val="ListBullet"/>
        <w:spacing w:after="40"/>
      </w:pPr>
      <w:r>
        <w:t>Identifier les priorités métier les plus crédibles à traiter par l’IA dans la diplomatie et les affaires internationales.</w:t>
      </w:r>
    </w:p>
    <w:p>
      <w:pPr>
        <w:pStyle w:val="ListBullet"/>
        <w:spacing w:after="40"/>
      </w:pPr>
      <w:r>
        <w:t>Savoir structurer et piloter le cas d’usage « Veille pays et sectorielle ».</w:t>
      </w:r>
    </w:p>
    <w:p>
      <w:pPr>
        <w:pStyle w:val="ListBullet"/>
        <w:spacing w:after="40"/>
      </w:pPr>
      <w:r>
        <w:t>Savoir structurer et piloter le cas d’usage « Briefings, missions et rendez-vous ».</w:t>
      </w:r>
    </w:p>
    <w:p>
      <w:pPr>
        <w:pStyle w:val="ListBullet"/>
        <w:spacing w:after="40"/>
      </w:pPr>
      <w:r>
        <w:t>Savoir structurer et piloter le cas d’usage « Synthèse multilingue et coopération ».</w:t>
      </w:r>
    </w:p>
    <w:p>
      <w:pPr>
        <w:pStyle w:val="ListBullet"/>
        <w:spacing w:after="40"/>
      </w:pPr>
      <w:r>
        <w:t>Distinguer les usages immédiatement activables, les usages à encadrer et les usages à piloter dans le temps.</w:t>
      </w:r>
    </w:p>
    <w:p>
      <w:pPr>
        <w:pStyle w:val="ListBullet"/>
        <w:spacing w:after="40"/>
      </w:pPr>
      <w:r>
        <w:t>Définir des KPI simples, un cadre de confiance et un premier plan d’action à 90 jours.</w:t>
      </w:r>
    </w:p>
    <w:p>
      <w:pPr>
        <w:pStyle w:val="Heading2"/>
        <w:spacing w:before="120" w:after="60"/>
      </w:pPr>
      <w:r>
        <w:t>Programme</w:t>
      </w:r>
    </w:p>
    <w:p>
      <w:pPr>
        <w:pStyle w:val="Heading3"/>
        <w:spacing w:before="120" w:after="60"/>
      </w:pPr>
      <w:r>
        <w:t>Jour 1</w:t>
      </w:r>
    </w:p>
    <w:p>
      <w:pPr>
        <w:pStyle w:val="ListBullet"/>
        <w:spacing w:after="40"/>
      </w:pPr>
      <w:r>
        <w:t>Lecture des enjeux sectoriels : La vraie promesse ici n’est pas de déléguer le jugement diplomatique. C’est de réduire le temps de préparation, de veille et de coordination documentaire autour de dossiers complexes.</w:t>
      </w:r>
    </w:p>
    <w:p>
      <w:pPr>
        <w:pStyle w:val="ListBullet"/>
        <w:spacing w:after="40"/>
      </w:pPr>
      <w:r>
        <w:t>Cartographie des priorités métier confirmées : Veille trop gourmande en temps ; Briefings et missions difficiles à préparer ; Travail multilingue dispersé.</w:t>
      </w:r>
    </w:p>
    <w:p>
      <w:pPr>
        <w:pStyle w:val="ListBullet"/>
        <w:spacing w:after="40"/>
      </w:pPr>
      <w:r>
        <w:t>Études de cas guidées autour de « Veille pays et sectorielle » et « Briefings, missions et rendez-vous ».</w:t>
      </w:r>
    </w:p>
    <w:p>
      <w:pPr>
        <w:pStyle w:val="ListBullet"/>
        <w:spacing w:after="40"/>
      </w:pPr>
      <w:r>
        <w:t>Méthodes, outils et gestes professionnels à partir des ancrages pédagogiques suivants : Diplomatie Digitale et Intelligence Artificielle ; Intelligence Artificielle et Analyse Géopolitique ; Communication Diplomatique à l’ère de l’IA.</w:t>
      </w:r>
    </w:p>
    <w:p>
      <w:pPr>
        <w:pStyle w:val="ListBullet"/>
        <w:spacing w:after="40"/>
      </w:pPr>
      <w:r>
        <w:t>Cadre de confiance : confidentialité, supervision humaine, validation managériale et critères d’extension.</w:t>
      </w:r>
    </w:p>
    <w:p>
      <w:pPr>
        <w:pStyle w:val="Heading3"/>
        <w:spacing w:before="120" w:after="60"/>
      </w:pPr>
      <w:r>
        <w:t>Jour 2</w:t>
      </w:r>
    </w:p>
    <w:p>
      <w:pPr>
        <w:pStyle w:val="ListBullet"/>
        <w:spacing w:after="40"/>
      </w:pPr>
      <w:r>
        <w:t>Cette journée s’active lorsque la formule 2 jours est retenue.</w:t>
      </w:r>
    </w:p>
    <w:p>
      <w:pPr>
        <w:pStyle w:val="ListBullet"/>
        <w:spacing w:after="40"/>
      </w:pPr>
      <w:r>
        <w:t>Ateliers de conception sur « Synthèse multilingue et coopération » et « Gouvernance et technologies émergentes ».</w:t>
      </w:r>
    </w:p>
    <w:p>
      <w:pPr>
        <w:pStyle w:val="ListBullet"/>
        <w:spacing w:after="40"/>
      </w:pPr>
      <w:r>
        <w:t>Construction de prompts, trames, routines et scénarios d’usage adaptés au terrain.</w:t>
      </w:r>
    </w:p>
    <w:p>
      <w:pPr>
        <w:pStyle w:val="ListBullet"/>
        <w:spacing w:after="40"/>
      </w:pPr>
      <w:r>
        <w:t>Approfondissements recommandés : Négociation Internationale et IA ; Gouvernance Mondiale de l’Intelligence Artificielle ; Leadership Diplomatique à l’ère de l’IA.</w:t>
      </w:r>
    </w:p>
    <w:p>
      <w:pPr>
        <w:pStyle w:val="ListBullet"/>
        <w:spacing w:after="40"/>
      </w:pPr>
      <w:r>
        <w:t>Définition du premier pilote, des livrables attendus et des KPI de suivi.</w:t>
      </w:r>
    </w:p>
    <w:p>
      <w:pPr>
        <w:pStyle w:val="ListBullet"/>
        <w:spacing w:after="40"/>
      </w:pPr>
      <w:r>
        <w:t>Plan d’action à 90 jours : séquencement, populations à former, gouvernance et arbitrages de déploiement.</w:t>
      </w:r>
    </w:p>
    <w:p>
      <w:pPr>
        <w:pStyle w:val="Heading2"/>
        <w:spacing w:before="120" w:after="60"/>
      </w:pPr>
      <w:r>
        <w:t>Livrables / attendus</w:t>
      </w:r>
    </w:p>
    <w:p>
      <w:pPr>
        <w:pStyle w:val="ListBullet"/>
        <w:spacing w:after="40"/>
      </w:pPr>
      <w:r>
        <w:t>Une note de cadrage sectorielle pour la diplomatie et les affaires internationales avec priorités confirmées, risques et premières décisions.</w:t>
      </w:r>
    </w:p>
    <w:p>
      <w:pPr>
        <w:pStyle w:val="ListBullet"/>
        <w:spacing w:after="40"/>
      </w:pPr>
      <w:r>
        <w:t>Une matrice des cas d’usage prioritaires incluant « Veille pays et sectorielle » ; « Briefings, missions et rendez-vous » ; « Synthèse multilingue et coopération » ; « Gouvernance et technologies émergentes ».</w:t>
      </w:r>
    </w:p>
    <w:p>
      <w:pPr>
        <w:pStyle w:val="ListBullet"/>
        <w:spacing w:after="40"/>
      </w:pPr>
      <w:r>
        <w:t>Un canevas de pilote à 90 jours avec KPI, rôles, supervision et critères de succès.</w:t>
      </w:r>
    </w:p>
    <w:p>
      <w:pPr>
        <w:pStyle w:val="ListBullet"/>
        <w:spacing w:after="40"/>
      </w:pPr>
      <w:r>
        <w:t>Une recommandation de parcours de montée en compétences à partir de : Diplomatie Digitale et Intelligence Artificielle ; Intelligence Artificielle et Analyse Géopolitique ; Communication Diplomatique à l’ère de l’IA ; Négociation Internationale et IA.</w:t>
      </w:r>
    </w:p>
    <w:p>
      <w:pPr>
        <w:pStyle w:val="Heading2"/>
        <w:spacing w:before="120" w:after="60"/>
      </w:pPr>
      <w:r>
        <w:t>Ancrages pédagogiques recommandés</w:t>
      </w:r>
    </w:p>
    <w:p>
      <w:pPr>
        <w:pStyle w:val="ListBullet"/>
        <w:spacing w:after="40"/>
      </w:pPr>
      <w:r>
        <w:t>Diplomatie Digitale et Intelligence Artificielle</w:t>
      </w:r>
    </w:p>
    <w:p>
      <w:pPr>
        <w:pStyle w:val="ListBullet"/>
        <w:spacing w:after="40"/>
      </w:pPr>
      <w:r>
        <w:t>Intelligence Artificielle et Analyse Géopolitique</w:t>
      </w:r>
    </w:p>
    <w:p>
      <w:pPr>
        <w:pStyle w:val="ListBullet"/>
        <w:spacing w:after="40"/>
      </w:pPr>
      <w:r>
        <w:t>Communication Diplomatique à l’ère de l’IA</w:t>
      </w:r>
    </w:p>
    <w:p>
      <w:pPr>
        <w:pStyle w:val="ListBullet"/>
        <w:spacing w:after="40"/>
      </w:pPr>
      <w:r>
        <w:t>Négociation Internationale et IA</w:t>
      </w:r>
    </w:p>
    <w:p>
      <w:pPr>
        <w:pStyle w:val="ListBullet"/>
        <w:spacing w:after="40"/>
      </w:pPr>
      <w:r>
        <w:t>Gouvernance Mondiale de l’Intelligence Artificielle</w:t>
      </w:r>
    </w:p>
    <w:p>
      <w:pPr>
        <w:pStyle w:val="ListBullet"/>
        <w:spacing w:after="40"/>
      </w:pPr>
      <w:r>
        <w:t>Leadership Diplomatique à l’ère de l’IA</w:t>
      </w:r>
    </w:p>
    <w:p>
      <w:pPr>
        <w:pStyle w:val="Heading2"/>
        <w:spacing w:before="120" w:after="60"/>
      </w:pPr>
      <w:r>
        <w:t>Mention de personnalisation</w:t>
      </w:r>
    </w:p>
    <w:p>
      <w:pPr>
        <w:pStyle w:val="ListBullet"/>
        <w:spacing w:after="40"/>
      </w:pPr>
      <w:r>
        <w:t>Le contenu final est ajusté après qualification du contexte, des outils déjà utilisés, des données disponibles et des arbitrages de confidentialité propres au prospect.</w:t>
      </w:r>
    </w:p>
    <w:p>
      <w:pPr>
        <w:pStyle w:val="Heading1"/>
        <w:spacing w:before="200" w:after="60"/>
      </w:pPr>
      <w:r>
        <w:t>TransferAI - Mini catalogue premium Transport &amp; Logistique</w:t>
      </w:r>
    </w:p>
    <w:p>
      <w:pPr>
        <w:spacing w:after="120"/>
      </w:pPr>
      <w:r>
        <w:t>Catalogue ciblé par secteur | Formule prioritaire sur mesure | Édition du 2026-06-12</w:t>
      </w:r>
    </w:p>
    <w:p>
      <w:pPr>
        <w:spacing w:after="120"/>
      </w:pPr>
      <w:r>
        <w:t>Ce document est conçu pour des prospects de même univers métier. Il peut être adapté à une organisation précise après audit IA gratuit et échange expert de qualification.</w:t>
      </w:r>
    </w:p>
    <w:p>
      <w:pPr>
        <w:pStyle w:val="Heading1"/>
        <w:spacing w:before="200" w:after="60"/>
      </w:pPr>
      <w:r>
        <w:t>Fiche sectorielle 14 / 16</w:t>
      </w:r>
    </w:p>
    <w:p>
      <w:pPr>
        <w:pStyle w:val="Heading2"/>
        <w:spacing w:before="120" w:after="60"/>
      </w:pPr>
      <w:r>
        <w:t>Domaine de référence</w:t>
      </w:r>
    </w:p>
    <w:p>
      <w:pPr>
        <w:pStyle w:val="ListBullet"/>
        <w:spacing w:after="40"/>
      </w:pPr>
      <w:r>
        <w:t>Transport &amp; Logistique | Contextes proches : Logistique / Express ; Logistique portuaire ; Transport en commun ; Transport ferroviaire ; Transport / Mobilité</w:t>
      </w:r>
    </w:p>
    <w:p>
      <w:pPr>
        <w:pStyle w:val="Heading2"/>
        <w:spacing w:before="120" w:after="60"/>
      </w:pPr>
      <w:r>
        <w:t>Enjeux sectoriels</w:t>
      </w:r>
    </w:p>
    <w:p>
      <w:pPr>
        <w:pStyle w:val="ListBullet"/>
        <w:spacing w:after="40"/>
      </w:pPr>
      <w:r>
        <w:t>Le retour sur investissement se joue ici sur la coordination terrain, la réduction des retards, la lecture des anomalies, la fluidité du service et la capacité à mieux commenter les opérations.</w:t>
      </w:r>
    </w:p>
    <w:p>
      <w:pPr>
        <w:pStyle w:val="ListBullet"/>
        <w:spacing w:after="40"/>
      </w:pPr>
      <w:r>
        <w:t>Informations terrain dispersées : Les opérations, incidents, tournées et retards remontent par plusieurs canaux et sont difficiles à consolider. Les équipes gagnent des synthèses plus rapides et une meilleure visibilité sur les priorités d’action.</w:t>
      </w:r>
    </w:p>
    <w:p>
      <w:pPr>
        <w:pStyle w:val="ListBullet"/>
        <w:spacing w:after="40"/>
      </w:pPr>
      <w:r>
        <w:t>Pilotage des flux peu commenté : Les KPI existent mais restent peu reliés à des analyses exploitables pour les responsables opérationnels. Les indicateurs gagnent en contexte, en commentaire et en capacité d’alerte.</w:t>
      </w:r>
    </w:p>
    <w:p>
      <w:pPr>
        <w:pStyle w:val="ListBullet"/>
        <w:spacing w:after="40"/>
      </w:pPr>
      <w:r>
        <w:t>Service client et opérations trop séparés : Le client vit les effets des retards ou incidents avant que les équipes ne disposent d’une réponse homogène. Les opérations et la relation client se coordonnent mieux autour d’une information plus fraîche.</w:t>
      </w:r>
    </w:p>
    <w:p>
      <w:pPr>
        <w:pStyle w:val="ListBullet"/>
        <w:spacing w:after="40"/>
      </w:pPr>
      <w:r>
        <w:t>Maintenance et anomalies traitées tard : Les signaux utiles existent mais sont peu capitalisés avant que le coût terrain n’augmente. Les écarts et incidents deviennent plus visibles pour permettre une réaction plus rapide.</w:t>
      </w:r>
    </w:p>
    <w:p>
      <w:pPr>
        <w:pStyle w:val="Heading2"/>
        <w:spacing w:before="120" w:after="60"/>
      </w:pPr>
      <w:r>
        <w:t>Contexte secteur à confirmer</w:t>
      </w:r>
    </w:p>
    <w:p>
      <w:pPr>
        <w:pStyle w:val="ListBullet"/>
        <w:spacing w:after="40"/>
      </w:pPr>
      <w:r>
        <w:t>Exemples de contextes proches : opérateurs de mobilité ; acteurs portuaires ; entreprises de fret et d’express.</w:t>
      </w:r>
    </w:p>
    <w:p>
      <w:pPr>
        <w:pStyle w:val="ListBullet"/>
        <w:spacing w:after="40"/>
      </w:pPr>
      <w:r>
        <w:t>Les enjeux confirmés au cadrage doivent être reliés à des priorités visibles pour le transport et la logistique.</w:t>
      </w:r>
    </w:p>
    <w:p>
      <w:pPr>
        <w:pStyle w:val="ListBullet"/>
        <w:spacing w:after="40"/>
      </w:pPr>
      <w:r>
        <w:t>Le périmètre à confirmer peut concerner un site pilote, une direction donnée, une équipe support ou un processus transverse.</w:t>
      </w:r>
    </w:p>
    <w:p>
      <w:pPr>
        <w:pStyle w:val="ListBullet"/>
        <w:spacing w:after="40"/>
      </w:pPr>
      <w:r>
        <w:t>Les cas d’usage retenus doivent être validés selon les données disponibles, les règles de confidentialité et la capacité de supervision humaine.</w:t>
      </w:r>
    </w:p>
    <w:p>
      <w:pPr>
        <w:pStyle w:val="Heading2"/>
        <w:spacing w:before="120" w:after="60"/>
      </w:pPr>
      <w:r>
        <w:t>Cas d’usage TransferAI mis en avant</w:t>
      </w:r>
    </w:p>
    <w:p>
      <w:pPr>
        <w:pStyle w:val="ListBullet"/>
        <w:spacing w:after="40"/>
      </w:pPr>
      <w:r>
        <w:rPr>
          <w:b/>
        </w:rPr>
        <w:t>Cockpit synthétique des opérations terrain</w:t>
      </w:r>
      <w:r>
        <w:t xml:space="preserve"> : Les flux et incidents sont résumés de façon plus lisible pour l’exploitation et le management. KPI de référence : Temps de lecture des incidents ; réactivité de coordination.</w:t>
      </w:r>
    </w:p>
    <w:p>
      <w:pPr>
        <w:pStyle w:val="ListBullet"/>
        <w:spacing w:after="40"/>
      </w:pPr>
      <w:r>
        <w:rPr>
          <w:b/>
        </w:rPr>
        <w:t>Gestion de flotte et suivi d’anomalies</w:t>
      </w:r>
      <w:r>
        <w:t xml:space="preserve"> : Les anomalies, exceptions et priorités ressortent plus tôt pour les équipes concernées. KPI de référence : Temps de détection ; nombre d’anomalies qualifiées.</w:t>
      </w:r>
    </w:p>
    <w:p>
      <w:pPr>
        <w:pStyle w:val="ListBullet"/>
        <w:spacing w:after="40"/>
      </w:pPr>
      <w:r>
        <w:rPr>
          <w:b/>
        </w:rPr>
        <w:t>Interface opérations / service client</w:t>
      </w:r>
      <w:r>
        <w:t xml:space="preserve"> : Les réponses client s’appuient sur une information plus consolidée, plus rapide et mieux formulée. KPI de référence : Temps de réponse client ; taux de résolution premier contact.</w:t>
      </w:r>
    </w:p>
    <w:p>
      <w:pPr>
        <w:pStyle w:val="ListBullet"/>
        <w:spacing w:after="40"/>
      </w:pPr>
      <w:r>
        <w:rPr>
          <w:b/>
        </w:rPr>
        <w:t>Maintenance et support prédictif</w:t>
      </w:r>
      <w:r>
        <w:t xml:space="preserve"> : L’IA aide à structurer les alertes, historiques et points d’attention avant action humaine. KPI de référence : Délai d’escalade ; temps d’immobilisation évité.</w:t>
      </w:r>
    </w:p>
    <w:p>
      <w:pPr>
        <w:pStyle w:val="Heading1"/>
        <w:spacing w:before="200" w:after="60"/>
      </w:pPr>
      <w:r>
        <w:t>Formule prioritaire recommandée</w:t>
      </w:r>
    </w:p>
    <w:p>
      <w:pPr>
        <w:pStyle w:val="Heading2"/>
        <w:spacing w:before="120" w:after="60"/>
      </w:pPr>
      <w:r>
        <w:t>Intitulé</w:t>
      </w:r>
    </w:p>
    <w:p>
      <w:pPr>
        <w:pStyle w:val="ListBullet"/>
        <w:spacing w:after="40"/>
      </w:pPr>
      <w:r>
        <w:t>Bootcamp IA sectoriel Transport &amp; Logistique : de l’acculturation utile au premier pilote mesurable</w:t>
      </w:r>
    </w:p>
    <w:p>
      <w:pPr>
        <w:pStyle w:val="Heading2"/>
        <w:spacing w:before="120" w:after="60"/>
      </w:pPr>
      <w:r>
        <w:t>Public cible</w:t>
      </w:r>
    </w:p>
    <w:p>
      <w:pPr>
        <w:pStyle w:val="ListBullet"/>
        <w:spacing w:after="40"/>
      </w:pPr>
      <w:r>
        <w:t>Exploitation, supply chain, flotte, hubs, service client, direction opérations</w:t>
      </w:r>
    </w:p>
    <w:p>
      <w:pPr>
        <w:pStyle w:val="Heading2"/>
        <w:spacing w:before="120" w:after="60"/>
      </w:pPr>
      <w:r>
        <w:t>Formats possibles</w:t>
      </w:r>
    </w:p>
    <w:p>
      <w:pPr>
        <w:pStyle w:val="ListBullet"/>
        <w:spacing w:after="40"/>
      </w:pPr>
      <w:r>
        <w:t>Présentiel</w:t>
      </w:r>
    </w:p>
    <w:p>
      <w:pPr>
        <w:pStyle w:val="ListBullet"/>
        <w:spacing w:after="40"/>
      </w:pPr>
      <w:r>
        <w:t>Hybride</w:t>
      </w:r>
    </w:p>
    <w:p>
      <w:pPr>
        <w:pStyle w:val="ListBullet"/>
        <w:spacing w:after="40"/>
      </w:pPr>
      <w:r>
        <w:t>En ligne (style webinaire)</w:t>
      </w:r>
    </w:p>
    <w:p>
      <w:pPr>
        <w:pStyle w:val="Heading2"/>
        <w:spacing w:before="120" w:after="60"/>
      </w:pPr>
      <w:r>
        <w:t>Niveaux</w:t>
      </w:r>
    </w:p>
    <w:p>
      <w:pPr>
        <w:pStyle w:val="ListBullet"/>
        <w:spacing w:after="40"/>
      </w:pPr>
      <w:r>
        <w:t>Débutant</w:t>
      </w:r>
    </w:p>
    <w:p>
      <w:pPr>
        <w:pStyle w:val="ListBullet"/>
        <w:spacing w:after="40"/>
      </w:pPr>
      <w:r>
        <w:t>Intermédiaire</w:t>
      </w:r>
    </w:p>
    <w:p>
      <w:pPr>
        <w:pStyle w:val="ListBullet"/>
        <w:spacing w:after="40"/>
      </w:pPr>
      <w:r>
        <w:t>Avancé</w:t>
      </w:r>
    </w:p>
    <w:p>
      <w:pPr>
        <w:pStyle w:val="Heading2"/>
        <w:spacing w:before="120" w:after="60"/>
      </w:pPr>
      <w:r>
        <w:t>Durée</w:t>
      </w:r>
    </w:p>
    <w:p>
      <w:pPr>
        <w:pStyle w:val="ListBullet"/>
        <w:spacing w:after="40"/>
      </w:pPr>
      <w:r>
        <w:t>1 jour : version décideurs et managers</w:t>
      </w:r>
    </w:p>
    <w:p>
      <w:pPr>
        <w:pStyle w:val="ListBullet"/>
        <w:spacing w:after="40"/>
      </w:pPr>
      <w:r>
        <w:t>2 jours : version équipes, managers et mise en pratique</w:t>
      </w:r>
    </w:p>
    <w:p>
      <w:pPr>
        <w:pStyle w:val="Heading2"/>
        <w:spacing w:before="120" w:after="60"/>
      </w:pPr>
      <w:r>
        <w:t>Tarif</w:t>
      </w:r>
    </w:p>
    <w:p>
      <w:pPr>
        <w:pStyle w:val="ListBullet"/>
        <w:spacing w:after="40"/>
      </w:pPr>
      <w:r>
        <w:t>Prix sur demande</w:t>
      </w:r>
    </w:p>
    <w:p>
      <w:pPr>
        <w:pStyle w:val="Heading2"/>
        <w:spacing w:before="120" w:after="60"/>
      </w:pPr>
      <w:r>
        <w:t>Résultats attendus</w:t>
      </w:r>
    </w:p>
    <w:p>
      <w:pPr>
        <w:pStyle w:val="ListBullet"/>
        <w:spacing w:after="40"/>
      </w:pPr>
      <w:r>
        <w:t>Moins de retards subis dans les opérations (meilleure lecture des points de friction).</w:t>
      </w:r>
    </w:p>
    <w:p>
      <w:pPr>
        <w:pStyle w:val="ListBullet"/>
        <w:spacing w:after="40"/>
      </w:pPr>
      <w:r>
        <w:t>Coordination plus rapide entre le terrain et les managers (synthèses, alertes, relances).</w:t>
      </w:r>
    </w:p>
    <w:p>
      <w:pPr>
        <w:pStyle w:val="ListBullet"/>
        <w:spacing w:after="40"/>
      </w:pPr>
      <w:r>
        <w:t>Service plus homogène côté client (information plus claire en cas d’incident).</w:t>
      </w:r>
    </w:p>
    <w:p>
      <w:pPr>
        <w:pStyle w:val="ListBullet"/>
        <w:spacing w:after="40"/>
      </w:pPr>
      <w:r>
        <w:t>KPI plus actionnables pour l’exploitation (commentaires et priorités visibles).</w:t>
      </w:r>
    </w:p>
    <w:p>
      <w:pPr>
        <w:pStyle w:val="ListBullet"/>
        <w:spacing w:after="40"/>
      </w:pPr>
      <w:r>
        <w:t>Une feuille de route claire sur les deux premiers cas d’usage à lancer dans le transport et la logistique.</w:t>
      </w:r>
    </w:p>
    <w:p>
      <w:pPr>
        <w:pStyle w:val="ListBullet"/>
        <w:spacing w:after="40"/>
      </w:pPr>
      <w:r>
        <w:t>Une meilleure capacité à relier formation, gouvernance, pilote et retour sur investissement visible.</w:t>
      </w:r>
    </w:p>
    <w:p>
      <w:pPr>
        <w:pStyle w:val="Heading2"/>
        <w:spacing w:before="120" w:after="60"/>
      </w:pPr>
      <w:r>
        <w:t>Objectifs pédagogiques</w:t>
      </w:r>
    </w:p>
    <w:p>
      <w:pPr>
        <w:pStyle w:val="ListBullet"/>
        <w:spacing w:after="40"/>
      </w:pPr>
      <w:r>
        <w:t>Identifier les priorités métier les plus crédibles à traiter par l’IA dans le transport et la logistique.</w:t>
      </w:r>
    </w:p>
    <w:p>
      <w:pPr>
        <w:pStyle w:val="ListBullet"/>
        <w:spacing w:after="40"/>
      </w:pPr>
      <w:r>
        <w:t>Savoir structurer et piloter le cas d’usage « Cockpit synthétique des opérations terrain ».</w:t>
      </w:r>
    </w:p>
    <w:p>
      <w:pPr>
        <w:pStyle w:val="ListBullet"/>
        <w:spacing w:after="40"/>
      </w:pPr>
      <w:r>
        <w:t>Savoir structurer et piloter le cas d’usage « Gestion de flotte et suivi d’anomalies ».</w:t>
      </w:r>
    </w:p>
    <w:p>
      <w:pPr>
        <w:pStyle w:val="ListBullet"/>
        <w:spacing w:after="40"/>
      </w:pPr>
      <w:r>
        <w:t>Savoir structurer et piloter le cas d’usage « Interface opérations / service client ».</w:t>
      </w:r>
    </w:p>
    <w:p>
      <w:pPr>
        <w:pStyle w:val="ListBullet"/>
        <w:spacing w:after="40"/>
      </w:pPr>
      <w:r>
        <w:t>Distinguer les usages immédiatement activables, les usages à encadrer et les usages à piloter dans le temps.</w:t>
      </w:r>
    </w:p>
    <w:p>
      <w:pPr>
        <w:pStyle w:val="ListBullet"/>
        <w:spacing w:after="40"/>
      </w:pPr>
      <w:r>
        <w:t>Définir des KPI simples, un cadre de confiance et un premier plan d’action à 90 jours.</w:t>
      </w:r>
    </w:p>
    <w:p>
      <w:pPr>
        <w:pStyle w:val="Heading2"/>
        <w:spacing w:before="120" w:after="60"/>
      </w:pPr>
      <w:r>
        <w:t>Programme</w:t>
      </w:r>
    </w:p>
    <w:p>
      <w:pPr>
        <w:pStyle w:val="Heading3"/>
        <w:spacing w:before="120" w:after="60"/>
      </w:pPr>
      <w:r>
        <w:t>Jour 1</w:t>
      </w:r>
    </w:p>
    <w:p>
      <w:pPr>
        <w:pStyle w:val="ListBullet"/>
        <w:spacing w:after="40"/>
      </w:pPr>
      <w:r>
        <w:t>Lecture des enjeux sectoriels : Le retour sur investissement se joue ici sur la coordination terrain, la réduction des retards, la lecture des anomalies, la fluidité du service et la capacité à mieux commenter les opérations.</w:t>
      </w:r>
    </w:p>
    <w:p>
      <w:pPr>
        <w:pStyle w:val="ListBullet"/>
        <w:spacing w:after="40"/>
      </w:pPr>
      <w:r>
        <w:t>Cartographie des priorités métier confirmées : Informations terrain dispersées ; Pilotage des flux peu commenté ; Service client et opérations trop séparés.</w:t>
      </w:r>
    </w:p>
    <w:p>
      <w:pPr>
        <w:pStyle w:val="ListBullet"/>
        <w:spacing w:after="40"/>
      </w:pPr>
      <w:r>
        <w:t>Études de cas guidées autour de « Cockpit synthétique des opérations terrain » et « Gestion de flotte et suivi d’anomalies ».</w:t>
      </w:r>
    </w:p>
    <w:p>
      <w:pPr>
        <w:pStyle w:val="ListBullet"/>
        <w:spacing w:after="40"/>
      </w:pPr>
      <w:r>
        <w:t>Méthodes, outils et gestes professionnels à partir des ancrages pédagogiques suivants : Gestion de Flotte et Logistique IA ; Planification et Suivi des Indicateurs avec l’IA ; Gestion des Achats et Approvisionnement IA.</w:t>
      </w:r>
    </w:p>
    <w:p>
      <w:pPr>
        <w:pStyle w:val="ListBullet"/>
        <w:spacing w:after="40"/>
      </w:pPr>
      <w:r>
        <w:t>Cadre de confiance : confidentialité, supervision humaine, validation managériale et critères d’extension.</w:t>
      </w:r>
    </w:p>
    <w:p>
      <w:pPr>
        <w:pStyle w:val="Heading3"/>
        <w:spacing w:before="120" w:after="60"/>
      </w:pPr>
      <w:r>
        <w:t>Jour 2</w:t>
      </w:r>
    </w:p>
    <w:p>
      <w:pPr>
        <w:pStyle w:val="ListBullet"/>
        <w:spacing w:after="40"/>
      </w:pPr>
      <w:r>
        <w:t>Cette journée s’active lorsque la formule 2 jours est retenue.</w:t>
      </w:r>
    </w:p>
    <w:p>
      <w:pPr>
        <w:pStyle w:val="ListBullet"/>
        <w:spacing w:after="40"/>
      </w:pPr>
      <w:r>
        <w:t>Ateliers de conception sur « Interface opérations / service client » et « Maintenance et support prédictif ».</w:t>
      </w:r>
    </w:p>
    <w:p>
      <w:pPr>
        <w:pStyle w:val="ListBullet"/>
        <w:spacing w:after="40"/>
      </w:pPr>
      <w:r>
        <w:t>Construction de prompts, trames, routines et scénarios d’usage adaptés au terrain.</w:t>
      </w:r>
    </w:p>
    <w:p>
      <w:pPr>
        <w:pStyle w:val="ListBullet"/>
        <w:spacing w:after="40"/>
      </w:pPr>
      <w:r>
        <w:t>Approfondissements recommandés : Relation Client Augmentée par l’IA ; Optimisation des Processus Métier avec l’IA ; Support Prédictif et Maintenance Anticipée.</w:t>
      </w:r>
    </w:p>
    <w:p>
      <w:pPr>
        <w:pStyle w:val="ListBullet"/>
        <w:spacing w:after="40"/>
      </w:pPr>
      <w:r>
        <w:t>Définition du premier pilote, des livrables attendus et des KPI de suivi.</w:t>
      </w:r>
    </w:p>
    <w:p>
      <w:pPr>
        <w:pStyle w:val="ListBullet"/>
        <w:spacing w:after="40"/>
      </w:pPr>
      <w:r>
        <w:t>Plan d’action à 90 jours : séquencement, populations à former, gouvernance et arbitrages de déploiement.</w:t>
      </w:r>
    </w:p>
    <w:p>
      <w:pPr>
        <w:pStyle w:val="Heading2"/>
        <w:spacing w:before="120" w:after="60"/>
      </w:pPr>
      <w:r>
        <w:t>Livrables / attendus</w:t>
      </w:r>
    </w:p>
    <w:p>
      <w:pPr>
        <w:pStyle w:val="ListBullet"/>
        <w:spacing w:after="40"/>
      </w:pPr>
      <w:r>
        <w:t>Une note de cadrage sectorielle pour le transport et la logistique avec priorités confirmées, risques et premières décisions.</w:t>
      </w:r>
    </w:p>
    <w:p>
      <w:pPr>
        <w:pStyle w:val="ListBullet"/>
        <w:spacing w:after="40"/>
      </w:pPr>
      <w:r>
        <w:t>Une matrice des cas d’usage prioritaires incluant « Cockpit synthétique des opérations terrain » ; « Gestion de flotte et suivi d’anomalies » ; « Interface opérations / service client » ; « Maintenance et support prédictif ».</w:t>
      </w:r>
    </w:p>
    <w:p>
      <w:pPr>
        <w:pStyle w:val="ListBullet"/>
        <w:spacing w:after="40"/>
      </w:pPr>
      <w:r>
        <w:t>Un canevas de pilote à 90 jours avec KPI, rôles, supervision et critères de succès.</w:t>
      </w:r>
    </w:p>
    <w:p>
      <w:pPr>
        <w:pStyle w:val="ListBullet"/>
        <w:spacing w:after="40"/>
      </w:pPr>
      <w:r>
        <w:t>Une recommandation de parcours de montée en compétences à partir de : Gestion de Flotte et Logistique IA ; Planification et Suivi des Indicateurs avec l’IA ; Gestion des Achats et Approvisionnement IA ; Relation Client Augmentée par l’IA.</w:t>
      </w:r>
    </w:p>
    <w:p>
      <w:pPr>
        <w:pStyle w:val="Heading2"/>
        <w:spacing w:before="120" w:after="60"/>
      </w:pPr>
      <w:r>
        <w:t>Ancrages pédagogiques recommandés</w:t>
      </w:r>
    </w:p>
    <w:p>
      <w:pPr>
        <w:pStyle w:val="ListBullet"/>
        <w:spacing w:after="40"/>
      </w:pPr>
      <w:r>
        <w:t>Gestion de Flotte et Logistique IA</w:t>
      </w:r>
    </w:p>
    <w:p>
      <w:pPr>
        <w:pStyle w:val="ListBullet"/>
        <w:spacing w:after="40"/>
      </w:pPr>
      <w:r>
        <w:t>Planification et Suivi des Indicateurs avec l’IA</w:t>
      </w:r>
    </w:p>
    <w:p>
      <w:pPr>
        <w:pStyle w:val="ListBullet"/>
        <w:spacing w:after="40"/>
      </w:pPr>
      <w:r>
        <w:t>Gestion des Achats et Approvisionnement IA</w:t>
      </w:r>
    </w:p>
    <w:p>
      <w:pPr>
        <w:pStyle w:val="ListBullet"/>
        <w:spacing w:after="40"/>
      </w:pPr>
      <w:r>
        <w:t>Relation Client Augmentée par l’IA</w:t>
      </w:r>
    </w:p>
    <w:p>
      <w:pPr>
        <w:pStyle w:val="ListBullet"/>
        <w:spacing w:after="40"/>
      </w:pPr>
      <w:r>
        <w:t>Optimisation des Processus Métier avec l’IA</w:t>
      </w:r>
    </w:p>
    <w:p>
      <w:pPr>
        <w:pStyle w:val="ListBullet"/>
        <w:spacing w:after="40"/>
      </w:pPr>
      <w:r>
        <w:t>Support Prédictif et Maintenance Anticipée</w:t>
      </w:r>
    </w:p>
    <w:p>
      <w:pPr>
        <w:pStyle w:val="Heading2"/>
        <w:spacing w:before="120" w:after="60"/>
      </w:pPr>
      <w:r>
        <w:t>Mention de personnalisation</w:t>
      </w:r>
    </w:p>
    <w:p>
      <w:pPr>
        <w:pStyle w:val="ListBullet"/>
        <w:spacing w:after="40"/>
      </w:pPr>
      <w:r>
        <w:t>Le contenu final est ajusté après qualification du contexte, des outils déjà utilisés, des données disponibles et des arbitrages de confidentialité propres au prospect.</w:t>
      </w:r>
    </w:p>
    <w:p>
      <w:pPr>
        <w:pStyle w:val="Heading1"/>
        <w:spacing w:before="200" w:after="60"/>
      </w:pPr>
      <w:r>
        <w:t>TransferAI - Mini catalogue premium Énergie &amp; Pétrole</w:t>
      </w:r>
    </w:p>
    <w:p>
      <w:pPr>
        <w:spacing w:after="120"/>
      </w:pPr>
      <w:r>
        <w:t>Catalogue ciblé par secteur | Formule prioritaire sur mesure | Édition du 2026-06-12</w:t>
      </w:r>
    </w:p>
    <w:p>
      <w:pPr>
        <w:spacing w:after="120"/>
      </w:pPr>
      <w:r>
        <w:t>Ce document est conçu pour des prospects de même univers métier. Il peut être adapté à une organisation précise après audit IA gratuit et échange expert de qualification.</w:t>
      </w:r>
    </w:p>
    <w:p>
      <w:pPr>
        <w:pStyle w:val="Heading1"/>
        <w:spacing w:before="200" w:after="60"/>
      </w:pPr>
      <w:r>
        <w:t>Fiche sectorielle 15 / 16</w:t>
      </w:r>
    </w:p>
    <w:p>
      <w:pPr>
        <w:pStyle w:val="Heading2"/>
        <w:spacing w:before="120" w:after="60"/>
      </w:pPr>
      <w:r>
        <w:t>Domaine de référence</w:t>
      </w:r>
    </w:p>
    <w:p>
      <w:pPr>
        <w:pStyle w:val="ListBullet"/>
        <w:spacing w:after="40"/>
      </w:pPr>
      <w:r>
        <w:t>Énergie &amp; Pétrole | Contextes proches : Énergie / Pétrole &amp; Gaz ; Énergie / Électricité ; Énergie / Production ; Énergie / Stockage ; Mines / Or</w:t>
      </w:r>
    </w:p>
    <w:p>
      <w:pPr>
        <w:pStyle w:val="Heading2"/>
        <w:spacing w:before="120" w:after="60"/>
      </w:pPr>
      <w:r>
        <w:t>Enjeux sectoriels</w:t>
      </w:r>
    </w:p>
    <w:p>
      <w:pPr>
        <w:pStyle w:val="ListBullet"/>
        <w:spacing w:after="40"/>
      </w:pPr>
      <w:r>
        <w:t>Dans ces contextes, l’IA doit rester très concrète : mieux commenter les opérations, réduire les délais de lecture, outiller le service et sécuriser la gouvernance autour de flux critiques.</w:t>
      </w:r>
    </w:p>
    <w:p>
      <w:pPr>
        <w:pStyle w:val="ListBullet"/>
        <w:spacing w:after="40"/>
      </w:pPr>
      <w:r>
        <w:t>Multi-activités difficiles à relier : Comptes clients, distribution, maintenance, réseau, service et pilotage remontent dans des circuits séparés. Les équipes gagnent une lecture plus consolidée des flux, incidents et priorités d’action.</w:t>
      </w:r>
    </w:p>
    <w:p>
      <w:pPr>
        <w:pStyle w:val="ListBullet"/>
        <w:spacing w:after="40"/>
      </w:pPr>
      <w:r>
        <w:t>Pilotage des comptes et opérations trop lent : Les responsables doivent assembler eux-mêmes les éléments utiles pour suivre portefeuille, recouvrement ou performance terrain. Les synthèses et alertes deviennent plus rapides et plus lisibles pour la direction et l’exploitation.</w:t>
      </w:r>
    </w:p>
    <w:p>
      <w:pPr>
        <w:pStyle w:val="ListBullet"/>
        <w:spacing w:after="40"/>
      </w:pPr>
      <w:r>
        <w:t>Maintenance et anomalies coûteuses : Les incidents, signaux faibles et points de vigilance ne sont pas toujours visibles à temps. Les historiques, alertes et retours terrain sont mieux exploités avant arbitrage humain.</w:t>
      </w:r>
    </w:p>
    <w:p>
      <w:pPr>
        <w:pStyle w:val="ListBullet"/>
        <w:spacing w:after="40"/>
      </w:pPr>
      <w:r>
        <w:t>Cadre HSE et conformité à structurer : Les équipes doivent concilier vitesse d’exécution, qualité documentaire et exigences de sécurité. Le dispositif gagne en traçabilité, en standardisation et en discipline documentaire.</w:t>
      </w:r>
    </w:p>
    <w:p>
      <w:pPr>
        <w:pStyle w:val="Heading2"/>
        <w:spacing w:before="120" w:after="60"/>
      </w:pPr>
      <w:r>
        <w:t>Contexte secteur à confirmer</w:t>
      </w:r>
    </w:p>
    <w:p>
      <w:pPr>
        <w:pStyle w:val="ListBullet"/>
        <w:spacing w:after="40"/>
      </w:pPr>
      <w:r>
        <w:t>Exemples de contextes proches : ELTON Oil CI ; distributeurs énergie et hydrocarbures ; sociétés de services techniques et logistiques.</w:t>
      </w:r>
    </w:p>
    <w:p>
      <w:pPr>
        <w:pStyle w:val="ListBullet"/>
        <w:spacing w:after="40"/>
      </w:pPr>
      <w:r>
        <w:t>Les enjeux confirmés au cadrage doivent être reliés à des priorités visibles pour l’énergie et le pétrole.</w:t>
      </w:r>
    </w:p>
    <w:p>
      <w:pPr>
        <w:pStyle w:val="ListBullet"/>
        <w:spacing w:after="40"/>
      </w:pPr>
      <w:r>
        <w:t>Le périmètre à confirmer peut concerner un site pilote, une direction donnée, une équipe support ou un processus transverse.</w:t>
      </w:r>
    </w:p>
    <w:p>
      <w:pPr>
        <w:pStyle w:val="ListBullet"/>
        <w:spacing w:after="40"/>
      </w:pPr>
      <w:r>
        <w:t>Les cas d’usage retenus doivent être validés selon les données disponibles, les règles de confidentialité et la capacité de supervision humaine.</w:t>
      </w:r>
    </w:p>
    <w:p>
      <w:pPr>
        <w:pStyle w:val="Heading2"/>
        <w:spacing w:before="120" w:after="60"/>
      </w:pPr>
      <w:r>
        <w:t>Cas d’usage TransferAI mis en avant</w:t>
      </w:r>
    </w:p>
    <w:p>
      <w:pPr>
        <w:pStyle w:val="ListBullet"/>
        <w:spacing w:after="40"/>
      </w:pPr>
      <w:r>
        <w:rPr>
          <w:b/>
        </w:rPr>
        <w:t>Pilotage des comptes professionnels et de la performance</w:t>
      </w:r>
      <w:r>
        <w:t xml:space="preserve"> : Les responsables gagnent des synthèses plus rapides pour suivre portefeuilles, relances et arbitrages. KPI de référence : Temps de préparation comité ; délai de relance ou décision.</w:t>
      </w:r>
    </w:p>
    <w:p>
      <w:pPr>
        <w:pStyle w:val="ListBullet"/>
        <w:spacing w:after="40"/>
      </w:pPr>
      <w:r>
        <w:rPr>
          <w:b/>
        </w:rPr>
        <w:t>Maintenance, support prédictif et incidents</w:t>
      </w:r>
      <w:r>
        <w:t xml:space="preserve"> : Les alertes et historiques sont mieux commentés pour agir plus tôt sur les écarts critiques. KPI de référence : Temps de détection ; temps de réaction.</w:t>
      </w:r>
    </w:p>
    <w:p>
      <w:pPr>
        <w:pStyle w:val="ListBullet"/>
        <w:spacing w:after="40"/>
      </w:pPr>
      <w:r>
        <w:rPr>
          <w:b/>
        </w:rPr>
        <w:t>Service client et réseau de distribution</w:t>
      </w:r>
      <w:r>
        <w:t xml:space="preserve"> : Les équipes disposent de réponses plus homogènes et d’un meilleur accès à l’information utile. KPI de référence : Temps moyen de réponse ; taux de résolution au premier niveau.</w:t>
      </w:r>
    </w:p>
    <w:p>
      <w:pPr>
        <w:pStyle w:val="ListBullet"/>
        <w:spacing w:after="40"/>
      </w:pPr>
      <w:r>
        <w:rPr>
          <w:b/>
        </w:rPr>
        <w:t>Conformité HSE et gouvernance documentaire</w:t>
      </w:r>
      <w:r>
        <w:t xml:space="preserve"> : Les pratiques documentaires gagnent en cohérence, en traçabilité et en vitesse de mise à jour. KPI de référence : Temps de préparation documentaire ; nombre de points de contrôle couverts.</w:t>
      </w:r>
    </w:p>
    <w:p>
      <w:pPr>
        <w:pStyle w:val="Heading1"/>
        <w:spacing w:before="200" w:after="60"/>
      </w:pPr>
      <w:r>
        <w:t>Formule prioritaire recommandée</w:t>
      </w:r>
    </w:p>
    <w:p>
      <w:pPr>
        <w:pStyle w:val="Heading2"/>
        <w:spacing w:before="120" w:after="60"/>
      </w:pPr>
      <w:r>
        <w:t>Intitulé</w:t>
      </w:r>
    </w:p>
    <w:p>
      <w:pPr>
        <w:pStyle w:val="ListBullet"/>
        <w:spacing w:after="40"/>
      </w:pPr>
      <w:r>
        <w:t>Bootcamp IA sectoriel Énergie &amp; Pétrole : de l’acculturation utile au premier pilote mesurable</w:t>
      </w:r>
    </w:p>
    <w:p>
      <w:pPr>
        <w:pStyle w:val="Heading2"/>
        <w:spacing w:before="120" w:after="60"/>
      </w:pPr>
      <w:r>
        <w:t>Public cible</w:t>
      </w:r>
    </w:p>
    <w:p>
      <w:pPr>
        <w:pStyle w:val="ListBullet"/>
        <w:spacing w:after="40"/>
      </w:pPr>
      <w:r>
        <w:t>Opérations, maintenance, HSE, finance, direction de site, coordination réseau et distribution</w:t>
      </w:r>
    </w:p>
    <w:p>
      <w:pPr>
        <w:pStyle w:val="Heading2"/>
        <w:spacing w:before="120" w:after="60"/>
      </w:pPr>
      <w:r>
        <w:t>Formats possibles</w:t>
      </w:r>
    </w:p>
    <w:p>
      <w:pPr>
        <w:pStyle w:val="ListBullet"/>
        <w:spacing w:after="40"/>
      </w:pPr>
      <w:r>
        <w:t>Présentiel</w:t>
      </w:r>
    </w:p>
    <w:p>
      <w:pPr>
        <w:pStyle w:val="ListBullet"/>
        <w:spacing w:after="40"/>
      </w:pPr>
      <w:r>
        <w:t>Hybride</w:t>
      </w:r>
    </w:p>
    <w:p>
      <w:pPr>
        <w:pStyle w:val="ListBullet"/>
        <w:spacing w:after="40"/>
      </w:pPr>
      <w:r>
        <w:t>En ligne (style webinaire)</w:t>
      </w:r>
    </w:p>
    <w:p>
      <w:pPr>
        <w:pStyle w:val="Heading2"/>
        <w:spacing w:before="120" w:after="60"/>
      </w:pPr>
      <w:r>
        <w:t>Niveaux</w:t>
      </w:r>
    </w:p>
    <w:p>
      <w:pPr>
        <w:pStyle w:val="ListBullet"/>
        <w:spacing w:after="40"/>
      </w:pPr>
      <w:r>
        <w:t>Débutant</w:t>
      </w:r>
    </w:p>
    <w:p>
      <w:pPr>
        <w:pStyle w:val="ListBullet"/>
        <w:spacing w:after="40"/>
      </w:pPr>
      <w:r>
        <w:t>Intermédiaire</w:t>
      </w:r>
    </w:p>
    <w:p>
      <w:pPr>
        <w:pStyle w:val="ListBullet"/>
        <w:spacing w:after="40"/>
      </w:pPr>
      <w:r>
        <w:t>Avancé</w:t>
      </w:r>
    </w:p>
    <w:p>
      <w:pPr>
        <w:pStyle w:val="Heading2"/>
        <w:spacing w:before="120" w:after="60"/>
      </w:pPr>
      <w:r>
        <w:t>Durée</w:t>
      </w:r>
    </w:p>
    <w:p>
      <w:pPr>
        <w:pStyle w:val="ListBullet"/>
        <w:spacing w:after="40"/>
      </w:pPr>
      <w:r>
        <w:t>1 jour : version décideurs et managers</w:t>
      </w:r>
    </w:p>
    <w:p>
      <w:pPr>
        <w:pStyle w:val="ListBullet"/>
        <w:spacing w:after="40"/>
      </w:pPr>
      <w:r>
        <w:t>2 jours : version équipes, managers et mise en pratique</w:t>
      </w:r>
    </w:p>
    <w:p>
      <w:pPr>
        <w:pStyle w:val="Heading2"/>
        <w:spacing w:before="120" w:after="60"/>
      </w:pPr>
      <w:r>
        <w:t>Tarif</w:t>
      </w:r>
    </w:p>
    <w:p>
      <w:pPr>
        <w:pStyle w:val="ListBullet"/>
        <w:spacing w:after="40"/>
      </w:pPr>
      <w:r>
        <w:t>Prix sur demande</w:t>
      </w:r>
    </w:p>
    <w:p>
      <w:pPr>
        <w:pStyle w:val="Heading2"/>
        <w:spacing w:before="120" w:after="60"/>
      </w:pPr>
      <w:r>
        <w:t>Résultats attendus</w:t>
      </w:r>
    </w:p>
    <w:p>
      <w:pPr>
        <w:pStyle w:val="ListBullet"/>
        <w:spacing w:after="40"/>
      </w:pPr>
      <w:r>
        <w:t>Lecture plus rapide des comptes et opérations (synthèses, alertes, portefeuille).</w:t>
      </w:r>
    </w:p>
    <w:p>
      <w:pPr>
        <w:pStyle w:val="ListBullet"/>
        <w:spacing w:after="40"/>
      </w:pPr>
      <w:r>
        <w:t>Moins de dispersion entre terrain et direction (reporting plus commenté).</w:t>
      </w:r>
    </w:p>
    <w:p>
      <w:pPr>
        <w:pStyle w:val="ListBullet"/>
        <w:spacing w:after="40"/>
      </w:pPr>
      <w:r>
        <w:t>Réactivité accrue sur anomalies et maintenance (signaux utiles mieux consolidés).</w:t>
      </w:r>
    </w:p>
    <w:p>
      <w:pPr>
        <w:pStyle w:val="ListBullet"/>
        <w:spacing w:after="40"/>
      </w:pPr>
      <w:r>
        <w:t>Cadre mieux maîtrisé sur HSE et conformité (documents, standards, pilotage).</w:t>
      </w:r>
    </w:p>
    <w:p>
      <w:pPr>
        <w:pStyle w:val="ListBullet"/>
        <w:spacing w:after="40"/>
      </w:pPr>
      <w:r>
        <w:t>Une feuille de route claire sur les deux premiers cas d’usage à lancer dans l’énergie et le pétrole.</w:t>
      </w:r>
    </w:p>
    <w:p>
      <w:pPr>
        <w:pStyle w:val="ListBullet"/>
        <w:spacing w:after="40"/>
      </w:pPr>
      <w:r>
        <w:t>Une meilleure capacité à relier formation, gouvernance, pilote et retour sur investissement visible.</w:t>
      </w:r>
    </w:p>
    <w:p>
      <w:pPr>
        <w:pStyle w:val="Heading2"/>
        <w:spacing w:before="120" w:after="60"/>
      </w:pPr>
      <w:r>
        <w:t>Objectifs pédagogiques</w:t>
      </w:r>
    </w:p>
    <w:p>
      <w:pPr>
        <w:pStyle w:val="ListBullet"/>
        <w:spacing w:after="40"/>
      </w:pPr>
      <w:r>
        <w:t>Identifier les priorités métier les plus crédibles à traiter par l’IA dans l’énergie et le pétrole.</w:t>
      </w:r>
    </w:p>
    <w:p>
      <w:pPr>
        <w:pStyle w:val="ListBullet"/>
        <w:spacing w:after="40"/>
      </w:pPr>
      <w:r>
        <w:t>Savoir structurer et piloter le cas d’usage « Pilotage des comptes professionnels et de la performance ».</w:t>
      </w:r>
    </w:p>
    <w:p>
      <w:pPr>
        <w:pStyle w:val="ListBullet"/>
        <w:spacing w:after="40"/>
      </w:pPr>
      <w:r>
        <w:t>Savoir structurer et piloter le cas d’usage « Maintenance, support prédictif et incidents ».</w:t>
      </w:r>
    </w:p>
    <w:p>
      <w:pPr>
        <w:pStyle w:val="ListBullet"/>
        <w:spacing w:after="40"/>
      </w:pPr>
      <w:r>
        <w:t>Savoir structurer et piloter le cas d’usage « Service client et réseau de distribution ».</w:t>
      </w:r>
    </w:p>
    <w:p>
      <w:pPr>
        <w:pStyle w:val="ListBullet"/>
        <w:spacing w:after="40"/>
      </w:pPr>
      <w:r>
        <w:t>Distinguer les usages immédiatement activables, les usages à encadrer et les usages à piloter dans le temps.</w:t>
      </w:r>
    </w:p>
    <w:p>
      <w:pPr>
        <w:pStyle w:val="ListBullet"/>
        <w:spacing w:after="40"/>
      </w:pPr>
      <w:r>
        <w:t>Définir des KPI simples, un cadre de confiance et un premier plan d’action à 90 jours.</w:t>
      </w:r>
    </w:p>
    <w:p>
      <w:pPr>
        <w:pStyle w:val="Heading2"/>
        <w:spacing w:before="120" w:after="60"/>
      </w:pPr>
      <w:r>
        <w:t>Programme</w:t>
      </w:r>
    </w:p>
    <w:p>
      <w:pPr>
        <w:pStyle w:val="Heading3"/>
        <w:spacing w:before="120" w:after="60"/>
      </w:pPr>
      <w:r>
        <w:t>Jour 1</w:t>
      </w:r>
    </w:p>
    <w:p>
      <w:pPr>
        <w:pStyle w:val="ListBullet"/>
        <w:spacing w:after="40"/>
      </w:pPr>
      <w:r>
        <w:t>Lecture des enjeux sectoriels : Dans ces contextes, l’IA doit rester très concrète : mieux commenter les opérations, réduire les délais de lecture, outiller le service et sécuriser la gouvernance autour de flux critiques.</w:t>
      </w:r>
    </w:p>
    <w:p>
      <w:pPr>
        <w:pStyle w:val="ListBullet"/>
        <w:spacing w:after="40"/>
      </w:pPr>
      <w:r>
        <w:t>Cartographie des priorités métier confirmées : Multi-activités difficiles à relier ; Pilotage des comptes et opérations trop lent ; Maintenance et anomalies coûteuses.</w:t>
      </w:r>
    </w:p>
    <w:p>
      <w:pPr>
        <w:pStyle w:val="ListBullet"/>
        <w:spacing w:after="40"/>
      </w:pPr>
      <w:r>
        <w:t>Études de cas guidées autour de « Pilotage des comptes professionnels et de la performance » et « Maintenance, support prédictif et incidents ».</w:t>
      </w:r>
    </w:p>
    <w:p>
      <w:pPr>
        <w:pStyle w:val="ListBullet"/>
        <w:spacing w:after="40"/>
      </w:pPr>
      <w:r>
        <w:t>Méthodes, outils et gestes professionnels à partir des ancrages pédagogiques suivants : Gestion de Flotte et Logistique IA ; Reporting Financier Automatisé ; Support Prédictif et Maintenance Anticipée.</w:t>
      </w:r>
    </w:p>
    <w:p>
      <w:pPr>
        <w:pStyle w:val="ListBullet"/>
        <w:spacing w:after="40"/>
      </w:pPr>
      <w:r>
        <w:t>Cadre de confiance : confidentialité, supervision humaine, validation managériale et critères d’extension.</w:t>
      </w:r>
    </w:p>
    <w:p>
      <w:pPr>
        <w:pStyle w:val="Heading3"/>
        <w:spacing w:before="120" w:after="60"/>
      </w:pPr>
      <w:r>
        <w:t>Jour 2</w:t>
      </w:r>
    </w:p>
    <w:p>
      <w:pPr>
        <w:pStyle w:val="ListBullet"/>
        <w:spacing w:after="40"/>
      </w:pPr>
      <w:r>
        <w:t>Cette journée s’active lorsque la formule 2 jours est retenue.</w:t>
      </w:r>
    </w:p>
    <w:p>
      <w:pPr>
        <w:pStyle w:val="ListBullet"/>
        <w:spacing w:after="40"/>
      </w:pPr>
      <w:r>
        <w:t>Ateliers de conception sur « Service client et réseau de distribution » et « Conformité HSE et gouvernance documentaire ».</w:t>
      </w:r>
    </w:p>
    <w:p>
      <w:pPr>
        <w:pStyle w:val="ListBullet"/>
        <w:spacing w:after="40"/>
      </w:pPr>
      <w:r>
        <w:t>Construction de prompts, trames, routines et scénarios d’usage adaptés au terrain.</w:t>
      </w:r>
    </w:p>
    <w:p>
      <w:pPr>
        <w:pStyle w:val="ListBullet"/>
        <w:spacing w:after="40"/>
      </w:pPr>
      <w:r>
        <w:t>Approfondissements recommandés : Leadership Data-Driven avec l’IA ; Optimisation des Processus Métier avec l’IA ; Conformité HSE et IA.</w:t>
      </w:r>
    </w:p>
    <w:p>
      <w:pPr>
        <w:pStyle w:val="ListBullet"/>
        <w:spacing w:after="40"/>
      </w:pPr>
      <w:r>
        <w:t>Définition du premier pilote, des livrables attendus et des KPI de suivi.</w:t>
      </w:r>
    </w:p>
    <w:p>
      <w:pPr>
        <w:pStyle w:val="ListBullet"/>
        <w:spacing w:after="40"/>
      </w:pPr>
      <w:r>
        <w:t>Plan d’action à 90 jours : séquencement, populations à former, gouvernance et arbitrages de déploiement.</w:t>
      </w:r>
    </w:p>
    <w:p>
      <w:pPr>
        <w:pStyle w:val="Heading2"/>
        <w:spacing w:before="120" w:after="60"/>
      </w:pPr>
      <w:r>
        <w:t>Livrables / attendus</w:t>
      </w:r>
    </w:p>
    <w:p>
      <w:pPr>
        <w:pStyle w:val="ListBullet"/>
        <w:spacing w:after="40"/>
      </w:pPr>
      <w:r>
        <w:t>Une note de cadrage sectorielle pour l’énergie et le pétrole avec priorités confirmées, risques et premières décisions.</w:t>
      </w:r>
    </w:p>
    <w:p>
      <w:pPr>
        <w:pStyle w:val="ListBullet"/>
        <w:spacing w:after="40"/>
      </w:pPr>
      <w:r>
        <w:t>Une matrice des cas d’usage prioritaires incluant « Pilotage des comptes professionnels et de la performance » ; « Maintenance, support prédictif et incidents » ; « Service client et réseau de distribution » ; « Conformité HSE et gouvernance documentaire ».</w:t>
      </w:r>
    </w:p>
    <w:p>
      <w:pPr>
        <w:pStyle w:val="ListBullet"/>
        <w:spacing w:after="40"/>
      </w:pPr>
      <w:r>
        <w:t>Un canevas de pilote à 90 jours avec KPI, rôles, supervision et critères de succès.</w:t>
      </w:r>
    </w:p>
    <w:p>
      <w:pPr>
        <w:pStyle w:val="ListBullet"/>
        <w:spacing w:after="40"/>
      </w:pPr>
      <w:r>
        <w:t>Une recommandation de parcours de montée en compétences à partir de : Gestion de Flotte et Logistique IA ; Reporting Financier Automatisé ; Support Prédictif et Maintenance Anticipée ; Leadership Data-Driven avec l’IA.</w:t>
      </w:r>
    </w:p>
    <w:p>
      <w:pPr>
        <w:pStyle w:val="Heading2"/>
        <w:spacing w:before="120" w:after="60"/>
      </w:pPr>
      <w:r>
        <w:t>Ancrages pédagogiques recommandés</w:t>
      </w:r>
    </w:p>
    <w:p>
      <w:pPr>
        <w:pStyle w:val="ListBullet"/>
        <w:spacing w:after="40"/>
      </w:pPr>
      <w:r>
        <w:t>Gestion de Flotte et Logistique IA</w:t>
      </w:r>
    </w:p>
    <w:p>
      <w:pPr>
        <w:pStyle w:val="ListBullet"/>
        <w:spacing w:after="40"/>
      </w:pPr>
      <w:r>
        <w:t>Reporting Financier Automatisé</w:t>
      </w:r>
    </w:p>
    <w:p>
      <w:pPr>
        <w:pStyle w:val="ListBullet"/>
        <w:spacing w:after="40"/>
      </w:pPr>
      <w:r>
        <w:t>Support Prédictif et Maintenance Anticipée</w:t>
      </w:r>
    </w:p>
    <w:p>
      <w:pPr>
        <w:pStyle w:val="ListBullet"/>
        <w:spacing w:after="40"/>
      </w:pPr>
      <w:r>
        <w:t>Leadership Data-Driven avec l’IA</w:t>
      </w:r>
    </w:p>
    <w:p>
      <w:pPr>
        <w:pStyle w:val="ListBullet"/>
        <w:spacing w:after="40"/>
      </w:pPr>
      <w:r>
        <w:t>Optimisation des Processus Métier avec l’IA</w:t>
      </w:r>
    </w:p>
    <w:p>
      <w:pPr>
        <w:pStyle w:val="ListBullet"/>
        <w:spacing w:after="40"/>
      </w:pPr>
      <w:r>
        <w:t>Conformité HSE et IA</w:t>
      </w:r>
    </w:p>
    <w:p>
      <w:pPr>
        <w:pStyle w:val="Heading2"/>
        <w:spacing w:before="120" w:after="60"/>
      </w:pPr>
      <w:r>
        <w:t>Mention de personnalisation</w:t>
      </w:r>
    </w:p>
    <w:p>
      <w:pPr>
        <w:pStyle w:val="ListBullet"/>
        <w:spacing w:after="40"/>
      </w:pPr>
      <w:r>
        <w:t>Le contenu final est ajusté après qualification du contexte, des outils déjà utilisés, des données disponibles et des arbitrages de confidentialité propres au prospect.</w:t>
      </w:r>
    </w:p>
    <w:p>
      <w:pPr>
        <w:pStyle w:val="Heading1"/>
        <w:spacing w:before="200" w:after="60"/>
      </w:pPr>
      <w:r>
        <w:t>TransferAI - Mini catalogue premium Télécommunications</w:t>
      </w:r>
    </w:p>
    <w:p>
      <w:pPr>
        <w:spacing w:after="120"/>
      </w:pPr>
      <w:r>
        <w:t>Catalogue ciblé par secteur | Formule prioritaire sur mesure | Édition du 2026-06-12</w:t>
      </w:r>
    </w:p>
    <w:p>
      <w:pPr>
        <w:spacing w:after="120"/>
      </w:pPr>
      <w:r>
        <w:t>Ce document est conçu pour des prospects de même univers métier. Il peut être adapté à une organisation précise après audit IA gratuit et échange expert de qualification.</w:t>
      </w:r>
    </w:p>
    <w:p>
      <w:pPr>
        <w:pStyle w:val="Heading1"/>
        <w:spacing w:before="200" w:after="60"/>
      </w:pPr>
      <w:r>
        <w:t>Fiche sectorielle 16 / 16</w:t>
      </w:r>
    </w:p>
    <w:p>
      <w:pPr>
        <w:pStyle w:val="Heading2"/>
        <w:spacing w:before="120" w:after="60"/>
      </w:pPr>
      <w:r>
        <w:t>Domaine de référence</w:t>
      </w:r>
    </w:p>
    <w:p>
      <w:pPr>
        <w:pStyle w:val="ListBullet"/>
        <w:spacing w:after="40"/>
      </w:pPr>
      <w:r>
        <w:t>Télécommunications | Contextes proches : Opérateur mobile intégré ; Internet / Fibre ; Service client multi-canaux ; Distribution télécom ; Mobile money / services digitaux</w:t>
      </w:r>
    </w:p>
    <w:p>
      <w:pPr>
        <w:pStyle w:val="Heading2"/>
        <w:spacing w:before="120" w:after="60"/>
      </w:pPr>
      <w:r>
        <w:t>Enjeux sectoriels</w:t>
      </w:r>
    </w:p>
    <w:p>
      <w:pPr>
        <w:pStyle w:val="ListBullet"/>
        <w:spacing w:after="40"/>
      </w:pPr>
      <w:r>
        <w:t>Dans les télécommunications, la valeur de l’IA se lit rapidement dans la stabilité du service, la vitesse de réponse client, la lisibilité des incidents, la qualité commerciale et la coordination entre les équipes réseau, relation client et management.</w:t>
      </w:r>
    </w:p>
    <w:p>
      <w:pPr>
        <w:pStyle w:val="ListBullet"/>
        <w:spacing w:after="40"/>
      </w:pPr>
      <w:r>
        <w:t>Incidents réseau mal relayés : Les informations techniques circulent, mais les impacts client et les arbitrages opérationnels sont parfois relayés trop tard. Les incidents sont synthétisés plus tôt, mieux qualifiés et plus facilement traduits en messages utiles pour les équipes concernées.</w:t>
      </w:r>
    </w:p>
    <w:p>
      <w:pPr>
        <w:pStyle w:val="ListBullet"/>
        <w:spacing w:after="40"/>
      </w:pPr>
      <w:r>
        <w:t>Relation client sous pression : Les demandes récurrentes, réclamations et retours d’expérience saturent les équipes de front et compliquent l’homogénéité du service. Les réponses, scripts, synthèses et parcours de traitement deviennent plus cohérents, plus rapides et plus pilotables.</w:t>
      </w:r>
    </w:p>
    <w:p>
      <w:pPr>
        <w:pStyle w:val="ListBullet"/>
        <w:spacing w:after="40"/>
      </w:pPr>
      <w:r>
        <w:t>Lecture commerciale dispersée : Les signaux sur churn, upsell, satisfaction ou qualité de service existent mais restent difficiles à prioriser rapidement. Les managers accèdent à une lecture plus claire des signaux prioritaires et des actions à déclencher.</w:t>
      </w:r>
    </w:p>
    <w:p>
      <w:pPr>
        <w:pStyle w:val="ListBullet"/>
        <w:spacing w:after="40"/>
      </w:pPr>
      <w:r>
        <w:t>Coordination interéquipes perfectible : Réseau, service client, marketing et direction ne partagent pas toujours la même lecture du terrain au même moment. Les équipes gagnent une base commune de synthèse, de langage et de pilotage orientée résultats.</w:t>
      </w:r>
    </w:p>
    <w:p>
      <w:pPr>
        <w:pStyle w:val="Heading2"/>
        <w:spacing w:before="120" w:after="60"/>
      </w:pPr>
      <w:r>
        <w:t>Contexte secteur à confirmer</w:t>
      </w:r>
    </w:p>
    <w:p>
      <w:pPr>
        <w:pStyle w:val="ListBullet"/>
        <w:spacing w:after="40"/>
      </w:pPr>
      <w:r>
        <w:t>Exemples de contextes proches : Orange Côte d’Ivoire ; opérateurs télécoms intégrés ; acteurs mobile money et data.</w:t>
      </w:r>
    </w:p>
    <w:p>
      <w:pPr>
        <w:pStyle w:val="ListBullet"/>
        <w:spacing w:after="40"/>
      </w:pPr>
      <w:r>
        <w:t>Les enjeux confirmés au cadrage doivent être reliés à des priorités visibles pour les télécommunications.</w:t>
      </w:r>
    </w:p>
    <w:p>
      <w:pPr>
        <w:pStyle w:val="ListBullet"/>
        <w:spacing w:after="40"/>
      </w:pPr>
      <w:r>
        <w:t>Le périmètre à confirmer peut concerner un site pilote, une direction donnée, une équipe support ou un processus transverse.</w:t>
      </w:r>
    </w:p>
    <w:p>
      <w:pPr>
        <w:pStyle w:val="ListBullet"/>
        <w:spacing w:after="40"/>
      </w:pPr>
      <w:r>
        <w:t>Les cas d’usage retenus doivent être validés selon les données disponibles, les règles de confidentialité et la capacité de supervision humaine.</w:t>
      </w:r>
    </w:p>
    <w:p>
      <w:pPr>
        <w:pStyle w:val="Heading2"/>
        <w:spacing w:before="120" w:after="60"/>
      </w:pPr>
      <w:r>
        <w:t>Cas d’usage TransferAI mis en avant</w:t>
      </w:r>
    </w:p>
    <w:p>
      <w:pPr>
        <w:pStyle w:val="ListBullet"/>
        <w:spacing w:after="40"/>
      </w:pPr>
      <w:r>
        <w:rPr>
          <w:b/>
        </w:rPr>
        <w:t>Centre de contact augmenté par l’IA</w:t>
      </w:r>
      <w:r>
        <w:t xml:space="preserve"> : Les scripts, réponses assistées, résumés et routages deviennent plus homogènes et plus rapides. KPI de référence : Temps moyen de réponse ; taux de résolution au premier contact.</w:t>
      </w:r>
    </w:p>
    <w:p>
      <w:pPr>
        <w:pStyle w:val="ListBullet"/>
        <w:spacing w:after="40"/>
      </w:pPr>
      <w:r>
        <w:rPr>
          <w:b/>
        </w:rPr>
        <w:t>Synthèse d’incidents réseau et communication interne</w:t>
      </w:r>
      <w:r>
        <w:t xml:space="preserve"> : Une synthèse plus lisible aide à coordonner exploitation, service client, direction et communication de crise. KPI de référence : Temps de diffusion d’une synthèse fiable ; délai de coordination.</w:t>
      </w:r>
    </w:p>
    <w:p>
      <w:pPr>
        <w:pStyle w:val="ListBullet"/>
        <w:spacing w:after="40"/>
      </w:pPr>
      <w:r>
        <w:rPr>
          <w:b/>
        </w:rPr>
        <w:t>Lecture des verbatims clients et signaux de churn</w:t>
      </w:r>
      <w:r>
        <w:t xml:space="preserve"> : L’IA aide à regrouper les motifs, signaux faibles et tendances d’insatisfaction de façon plus exploitable. KPI de référence : Délai d’analyse ; nombre de signaux priorisés.</w:t>
      </w:r>
    </w:p>
    <w:p>
      <w:pPr>
        <w:pStyle w:val="ListBullet"/>
        <w:spacing w:after="40"/>
      </w:pPr>
      <w:r>
        <w:rPr>
          <w:b/>
        </w:rPr>
        <w:t>Pilotage commercial et qualité de service</w:t>
      </w:r>
      <w:r>
        <w:t xml:space="preserve"> : Les managers disposent de commentaires plus utiles et d’une lecture plus actionnable des arbitrages. KPI de référence : Temps de préparation d’un comité ; vitesse de décision.</w:t>
      </w:r>
    </w:p>
    <w:p>
      <w:pPr>
        <w:pStyle w:val="Heading1"/>
        <w:spacing w:before="200" w:after="60"/>
      </w:pPr>
      <w:r>
        <w:t>Formule prioritaire recommandée</w:t>
      </w:r>
    </w:p>
    <w:p>
      <w:pPr>
        <w:pStyle w:val="Heading2"/>
        <w:spacing w:before="120" w:after="60"/>
      </w:pPr>
      <w:r>
        <w:t>Intitulé</w:t>
      </w:r>
    </w:p>
    <w:p>
      <w:pPr>
        <w:pStyle w:val="ListBullet"/>
        <w:spacing w:after="40"/>
      </w:pPr>
      <w:r>
        <w:t>Bootcamp IA sectoriel Télécommunications : de l’acculturation utile au premier pilote mesurable</w:t>
      </w:r>
    </w:p>
    <w:p>
      <w:pPr>
        <w:pStyle w:val="Heading2"/>
        <w:spacing w:before="120" w:after="60"/>
      </w:pPr>
      <w:r>
        <w:t>Public cible</w:t>
      </w:r>
    </w:p>
    <w:p>
      <w:pPr>
        <w:pStyle w:val="ListBullet"/>
        <w:spacing w:after="40"/>
      </w:pPr>
      <w:r>
        <w:t>Direction générale, service client, opérations réseau, marketing, vente B2B/B2C, qualité de service, mobile money</w:t>
      </w:r>
    </w:p>
    <w:p>
      <w:pPr>
        <w:pStyle w:val="Heading2"/>
        <w:spacing w:before="120" w:after="60"/>
      </w:pPr>
      <w:r>
        <w:t>Formats possibles</w:t>
      </w:r>
    </w:p>
    <w:p>
      <w:pPr>
        <w:pStyle w:val="ListBullet"/>
        <w:spacing w:after="40"/>
      </w:pPr>
      <w:r>
        <w:t>Présentiel</w:t>
      </w:r>
    </w:p>
    <w:p>
      <w:pPr>
        <w:pStyle w:val="ListBullet"/>
        <w:spacing w:after="40"/>
      </w:pPr>
      <w:r>
        <w:t>Hybride</w:t>
      </w:r>
    </w:p>
    <w:p>
      <w:pPr>
        <w:pStyle w:val="ListBullet"/>
        <w:spacing w:after="40"/>
      </w:pPr>
      <w:r>
        <w:t>En ligne (style webinaire)</w:t>
      </w:r>
    </w:p>
    <w:p>
      <w:pPr>
        <w:pStyle w:val="Heading2"/>
        <w:spacing w:before="120" w:after="60"/>
      </w:pPr>
      <w:r>
        <w:t>Niveaux</w:t>
      </w:r>
    </w:p>
    <w:p>
      <w:pPr>
        <w:pStyle w:val="ListBullet"/>
        <w:spacing w:after="40"/>
      </w:pPr>
      <w:r>
        <w:t>Débutant</w:t>
      </w:r>
    </w:p>
    <w:p>
      <w:pPr>
        <w:pStyle w:val="ListBullet"/>
        <w:spacing w:after="40"/>
      </w:pPr>
      <w:r>
        <w:t>Intermédiaire</w:t>
      </w:r>
    </w:p>
    <w:p>
      <w:pPr>
        <w:pStyle w:val="ListBullet"/>
        <w:spacing w:after="40"/>
      </w:pPr>
      <w:r>
        <w:t>Avancé</w:t>
      </w:r>
    </w:p>
    <w:p>
      <w:pPr>
        <w:pStyle w:val="Heading2"/>
        <w:spacing w:before="120" w:after="60"/>
      </w:pPr>
      <w:r>
        <w:t>Durée</w:t>
      </w:r>
    </w:p>
    <w:p>
      <w:pPr>
        <w:pStyle w:val="ListBullet"/>
        <w:spacing w:after="40"/>
      </w:pPr>
      <w:r>
        <w:t>1 jour : version décideurs et managers</w:t>
      </w:r>
    </w:p>
    <w:p>
      <w:pPr>
        <w:pStyle w:val="ListBullet"/>
        <w:spacing w:after="40"/>
      </w:pPr>
      <w:r>
        <w:t>2 jours : version équipes, managers et mise en pratique</w:t>
      </w:r>
    </w:p>
    <w:p>
      <w:pPr>
        <w:pStyle w:val="Heading2"/>
        <w:spacing w:before="120" w:after="60"/>
      </w:pPr>
      <w:r>
        <w:t>Tarif</w:t>
      </w:r>
    </w:p>
    <w:p>
      <w:pPr>
        <w:pStyle w:val="ListBullet"/>
        <w:spacing w:after="40"/>
      </w:pPr>
      <w:r>
        <w:t>Prix sur demande</w:t>
      </w:r>
    </w:p>
    <w:p>
      <w:pPr>
        <w:pStyle w:val="Heading2"/>
        <w:spacing w:before="120" w:after="60"/>
      </w:pPr>
      <w:r>
        <w:t>Résultats attendus</w:t>
      </w:r>
    </w:p>
    <w:p>
      <w:pPr>
        <w:pStyle w:val="ListBullet"/>
        <w:spacing w:after="40"/>
      </w:pPr>
      <w:r>
        <w:t>Réponses plus rapides sur les canaux clients (scripts, synthèses et qualification initiale).</w:t>
      </w:r>
    </w:p>
    <w:p>
      <w:pPr>
        <w:pStyle w:val="ListBullet"/>
        <w:spacing w:after="40"/>
      </w:pPr>
      <w:r>
        <w:t>Incidents mieux pilotés côté réseau et exploitation (lecture commune des impacts et priorités).</w:t>
      </w:r>
    </w:p>
    <w:p>
      <w:pPr>
        <w:pStyle w:val="ListBullet"/>
        <w:spacing w:after="40"/>
      </w:pPr>
      <w:r>
        <w:t>Churn mieux anticipé dans les signaux faibles (verbatims, usages, motifs d’insatisfaction).</w:t>
      </w:r>
    </w:p>
    <w:p>
      <w:pPr>
        <w:pStyle w:val="ListBullet"/>
        <w:spacing w:after="40"/>
      </w:pPr>
      <w:r>
        <w:t>Managers mieux alignés sur les arbitrages (KPI, alertes et messages homogènes).</w:t>
      </w:r>
    </w:p>
    <w:p>
      <w:pPr>
        <w:pStyle w:val="ListBullet"/>
        <w:spacing w:after="40"/>
      </w:pPr>
      <w:r>
        <w:t>Une feuille de route claire sur les deux premiers cas d’usage à lancer dans les télécommunications.</w:t>
      </w:r>
    </w:p>
    <w:p>
      <w:pPr>
        <w:pStyle w:val="ListBullet"/>
        <w:spacing w:after="40"/>
      </w:pPr>
      <w:r>
        <w:t>Une meilleure capacité à relier formation, gouvernance, pilote et retour sur investissement visible.</w:t>
      </w:r>
    </w:p>
    <w:p>
      <w:pPr>
        <w:pStyle w:val="Heading2"/>
        <w:spacing w:before="120" w:after="60"/>
      </w:pPr>
      <w:r>
        <w:t>Objectifs pédagogiques</w:t>
      </w:r>
    </w:p>
    <w:p>
      <w:pPr>
        <w:pStyle w:val="ListBullet"/>
        <w:spacing w:after="40"/>
      </w:pPr>
      <w:r>
        <w:t>Identifier les priorités métier les plus crédibles à traiter par l’IA dans les télécommunications.</w:t>
      </w:r>
    </w:p>
    <w:p>
      <w:pPr>
        <w:pStyle w:val="ListBullet"/>
        <w:spacing w:after="40"/>
      </w:pPr>
      <w:r>
        <w:t>Savoir structurer et piloter le cas d’usage « Centre de contact augmenté par l’IA ».</w:t>
      </w:r>
    </w:p>
    <w:p>
      <w:pPr>
        <w:pStyle w:val="ListBullet"/>
        <w:spacing w:after="40"/>
      </w:pPr>
      <w:r>
        <w:t>Savoir structurer et piloter le cas d’usage « Synthèse d’incidents réseau et communication interne ».</w:t>
      </w:r>
    </w:p>
    <w:p>
      <w:pPr>
        <w:pStyle w:val="ListBullet"/>
        <w:spacing w:after="40"/>
      </w:pPr>
      <w:r>
        <w:t>Savoir structurer et piloter le cas d’usage « Lecture des verbatims clients et signaux de churn ».</w:t>
      </w:r>
    </w:p>
    <w:p>
      <w:pPr>
        <w:pStyle w:val="ListBullet"/>
        <w:spacing w:after="40"/>
      </w:pPr>
      <w:r>
        <w:t>Distinguer les usages immédiatement activables, les usages à encadrer et les usages à piloter dans le temps.</w:t>
      </w:r>
    </w:p>
    <w:p>
      <w:pPr>
        <w:pStyle w:val="ListBullet"/>
        <w:spacing w:after="40"/>
      </w:pPr>
      <w:r>
        <w:t>Définir des KPI simples, un cadre de confiance et un premier plan d’action à 90 jours.</w:t>
      </w:r>
    </w:p>
    <w:p>
      <w:pPr>
        <w:pStyle w:val="Heading2"/>
        <w:spacing w:before="120" w:after="60"/>
      </w:pPr>
      <w:r>
        <w:t>Programme</w:t>
      </w:r>
    </w:p>
    <w:p>
      <w:pPr>
        <w:pStyle w:val="Heading3"/>
        <w:spacing w:before="120" w:after="60"/>
      </w:pPr>
      <w:r>
        <w:t>Jour 1</w:t>
      </w:r>
    </w:p>
    <w:p>
      <w:pPr>
        <w:pStyle w:val="ListBullet"/>
        <w:spacing w:after="40"/>
      </w:pPr>
      <w:r>
        <w:t>Lecture des enjeux sectoriels : Dans les télécommunications, la valeur de l’IA se lit rapidement dans la stabilité du service, la vitesse de réponse client, la lisibilité des incidents, la qualité commerciale et la coordination entre les équipes réseau, relation client et management.</w:t>
      </w:r>
    </w:p>
    <w:p>
      <w:pPr>
        <w:pStyle w:val="ListBullet"/>
        <w:spacing w:after="40"/>
      </w:pPr>
      <w:r>
        <w:t>Cartographie des priorités métier confirmées : Incidents réseau mal relayés ; Relation client sous pression ; Lecture commerciale dispersée.</w:t>
      </w:r>
    </w:p>
    <w:p>
      <w:pPr>
        <w:pStyle w:val="ListBullet"/>
        <w:spacing w:after="40"/>
      </w:pPr>
      <w:r>
        <w:t>Études de cas guidées autour de « Centre de contact augmenté par l’IA » et « Synthèse d’incidents réseau et communication interne ».</w:t>
      </w:r>
    </w:p>
    <w:p>
      <w:pPr>
        <w:pStyle w:val="ListBullet"/>
        <w:spacing w:after="40"/>
      </w:pPr>
      <w:r>
        <w:t>Méthodes, outils et gestes professionnels à partir des ancrages pédagogiques suivants : Service Client Augmenté par l’IA ; Analyse de Sentiment et Feedback Client ; Relation Client Augmentée par l’IA.</w:t>
      </w:r>
    </w:p>
    <w:p>
      <w:pPr>
        <w:pStyle w:val="ListBullet"/>
        <w:spacing w:after="40"/>
      </w:pPr>
      <w:r>
        <w:t>Cadre de confiance : confidentialité, supervision humaine, validation managériale et critères d’extension.</w:t>
      </w:r>
    </w:p>
    <w:p>
      <w:pPr>
        <w:pStyle w:val="Heading3"/>
        <w:spacing w:before="120" w:after="60"/>
      </w:pPr>
      <w:r>
        <w:t>Jour 2</w:t>
      </w:r>
    </w:p>
    <w:p>
      <w:pPr>
        <w:pStyle w:val="ListBullet"/>
        <w:spacing w:after="40"/>
      </w:pPr>
      <w:r>
        <w:t>Cette journée s’active lorsque la formule 2 jours est retenue.</w:t>
      </w:r>
    </w:p>
    <w:p>
      <w:pPr>
        <w:pStyle w:val="ListBullet"/>
        <w:spacing w:after="40"/>
      </w:pPr>
      <w:r>
        <w:t>Ateliers de conception sur « Lecture des verbatims clients et signaux de churn » et « Pilotage commercial et qualité de service ».</w:t>
      </w:r>
    </w:p>
    <w:p>
      <w:pPr>
        <w:pStyle w:val="ListBullet"/>
        <w:spacing w:after="40"/>
      </w:pPr>
      <w:r>
        <w:t>Construction de prompts, trames, routines et scénarios d’usage adaptés au terrain.</w:t>
      </w:r>
    </w:p>
    <w:p>
      <w:pPr>
        <w:pStyle w:val="ListBullet"/>
        <w:spacing w:after="40"/>
      </w:pPr>
      <w:r>
        <w:t>Approfondissements recommandés : Pilotage Réseau et Qualité de Service avec l’IA ; Marketing Télécom et Personnalisation IA ; Leadership Data-Driven avec l’IA.</w:t>
      </w:r>
    </w:p>
    <w:p>
      <w:pPr>
        <w:pStyle w:val="ListBullet"/>
        <w:spacing w:after="40"/>
      </w:pPr>
      <w:r>
        <w:t>Définition du premier pilote, des livrables attendus et des KPI de suivi.</w:t>
      </w:r>
    </w:p>
    <w:p>
      <w:pPr>
        <w:pStyle w:val="ListBullet"/>
        <w:spacing w:after="40"/>
      </w:pPr>
      <w:r>
        <w:t>Plan d’action à 90 jours : séquencement, populations à former, gouvernance et arbitrages de déploiement.</w:t>
      </w:r>
    </w:p>
    <w:p>
      <w:pPr>
        <w:pStyle w:val="Heading2"/>
        <w:spacing w:before="120" w:after="60"/>
      </w:pPr>
      <w:r>
        <w:t>Livrables / attendus</w:t>
      </w:r>
    </w:p>
    <w:p>
      <w:pPr>
        <w:pStyle w:val="ListBullet"/>
        <w:spacing w:after="40"/>
      </w:pPr>
      <w:r>
        <w:t>Une note de cadrage sectorielle pour les télécommunications avec priorités confirmées, risques et premières décisions.</w:t>
      </w:r>
    </w:p>
    <w:p>
      <w:pPr>
        <w:pStyle w:val="ListBullet"/>
        <w:spacing w:after="40"/>
      </w:pPr>
      <w:r>
        <w:t>Une matrice des cas d’usage prioritaires incluant « Centre de contact augmenté par l’IA » ; « Synthèse d’incidents réseau et communication interne » ; « Lecture des verbatims clients et signaux de churn » ; « Pilotage commercial et qualité de service ».</w:t>
      </w:r>
    </w:p>
    <w:p>
      <w:pPr>
        <w:pStyle w:val="ListBullet"/>
        <w:spacing w:after="40"/>
      </w:pPr>
      <w:r>
        <w:t>Un canevas de pilote à 90 jours avec KPI, rôles, supervision et critères de succès.</w:t>
      </w:r>
    </w:p>
    <w:p>
      <w:pPr>
        <w:pStyle w:val="ListBullet"/>
        <w:spacing w:after="40"/>
      </w:pPr>
      <w:r>
        <w:t>Une recommandation de parcours de montée en compétences à partir de : Service Client Augmenté par l’IA ; Analyse de Sentiment et Feedback Client ; Relation Client Augmentée par l’IA ; Pilotage Réseau et Qualité de Service avec l’IA.</w:t>
      </w:r>
    </w:p>
    <w:p>
      <w:pPr>
        <w:pStyle w:val="Heading2"/>
        <w:spacing w:before="120" w:after="60"/>
      </w:pPr>
      <w:r>
        <w:t>Ancrages pédagogiques recommandés</w:t>
      </w:r>
    </w:p>
    <w:p>
      <w:pPr>
        <w:pStyle w:val="ListBullet"/>
        <w:spacing w:after="40"/>
      </w:pPr>
      <w:r>
        <w:t>Service Client Augmenté par l’IA</w:t>
      </w:r>
    </w:p>
    <w:p>
      <w:pPr>
        <w:pStyle w:val="ListBullet"/>
        <w:spacing w:after="40"/>
      </w:pPr>
      <w:r>
        <w:t>Analyse de Sentiment et Feedback Client</w:t>
      </w:r>
    </w:p>
    <w:p>
      <w:pPr>
        <w:pStyle w:val="ListBullet"/>
        <w:spacing w:after="40"/>
      </w:pPr>
      <w:r>
        <w:t>Relation Client Augmentée par l’IA</w:t>
      </w:r>
    </w:p>
    <w:p>
      <w:pPr>
        <w:pStyle w:val="ListBullet"/>
        <w:spacing w:after="40"/>
      </w:pPr>
      <w:r>
        <w:t>Pilotage Réseau et Qualité de Service avec l’IA</w:t>
      </w:r>
    </w:p>
    <w:p>
      <w:pPr>
        <w:pStyle w:val="ListBullet"/>
        <w:spacing w:after="40"/>
      </w:pPr>
      <w:r>
        <w:t>Marketing Télécom et Personnalisation IA</w:t>
      </w:r>
    </w:p>
    <w:p>
      <w:pPr>
        <w:pStyle w:val="ListBullet"/>
        <w:spacing w:after="40"/>
      </w:pPr>
      <w:r>
        <w:t>Leadership Data-Driven avec l’IA</w:t>
      </w:r>
    </w:p>
    <w:p>
      <w:pPr>
        <w:pStyle w:val="Heading2"/>
        <w:spacing w:before="120" w:after="60"/>
      </w:pPr>
      <w:r>
        <w:t>Mention de personnalisation</w:t>
      </w:r>
    </w:p>
    <w:p>
      <w:pPr>
        <w:pStyle w:val="ListBullet"/>
        <w:spacing w:after="40"/>
      </w:pPr>
      <w:r>
        <w:t>Le contenu final est ajusté après qualification du contexte, des outils déjà utilisés, des données disponibles et des arbitrages de confidentialité propres au prospect.</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2B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E5D8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2B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B6B7A"/>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