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8DE9CD" w14:textId="77777777" w:rsidR="00C6488D" w:rsidRDefault="00000000">
      <w:pPr>
        <w:spacing w:after="40" w:line="240" w:lineRule="auto"/>
      </w:pPr>
      <w:r>
        <w:rPr>
          <w:b/>
          <w:color w:val="666666"/>
          <w:sz w:val="20"/>
        </w:rPr>
        <w:t>DOCUMENT DE TRAVAIL TRANSFERAI</w:t>
      </w:r>
    </w:p>
    <w:p w14:paraId="604F5B80" w14:textId="77777777" w:rsidR="00C6488D" w:rsidRDefault="00000000">
      <w:pPr>
        <w:spacing w:after="80" w:line="240" w:lineRule="auto"/>
      </w:pPr>
      <w:r>
        <w:rPr>
          <w:b/>
          <w:sz w:val="48"/>
        </w:rPr>
        <w:t>Comment l’IA régénère de l’argent par secteur</w:t>
      </w:r>
    </w:p>
    <w:p w14:paraId="5F762B45" w14:textId="77777777" w:rsidR="00C6488D" w:rsidRDefault="00000000">
      <w:pPr>
        <w:spacing w:after="280" w:line="276" w:lineRule="auto"/>
      </w:pPr>
      <w:r>
        <w:rPr>
          <w:color w:val="666666"/>
          <w:sz w:val="24"/>
        </w:rPr>
        <w:t>Version Word prête à partager pour formaliser la slide commerciale, son message central et sa mise en page recommandée.</w:t>
      </w:r>
    </w:p>
    <w:p w14:paraId="5366D3E0" w14:textId="77777777" w:rsidR="00C6488D" w:rsidRDefault="00000000">
      <w:pPr>
        <w:spacing w:after="40" w:line="276" w:lineRule="auto"/>
      </w:pPr>
      <w:r>
        <w:rPr>
          <w:b/>
        </w:rPr>
        <w:t xml:space="preserve">Date : </w:t>
      </w:r>
      <w:r>
        <w:t>24 juin 2026</w:t>
      </w:r>
    </w:p>
    <w:p w14:paraId="2ADB221A" w14:textId="77777777" w:rsidR="00C6488D" w:rsidRDefault="00000000">
      <w:pPr>
        <w:spacing w:after="40" w:line="276" w:lineRule="auto"/>
      </w:pPr>
      <w:r>
        <w:rPr>
          <w:b/>
        </w:rPr>
        <w:t xml:space="preserve">Usage : </w:t>
      </w:r>
      <w:r>
        <w:t>Base de slide / support de vente</w:t>
      </w:r>
    </w:p>
    <w:p w14:paraId="33B7FE3C" w14:textId="77777777" w:rsidR="00C6488D" w:rsidRDefault="00000000">
      <w:pPr>
        <w:spacing w:after="40" w:line="276" w:lineRule="auto"/>
      </w:pPr>
      <w:r>
        <w:rPr>
          <w:b/>
        </w:rPr>
        <w:t xml:space="preserve">Angle : </w:t>
      </w:r>
      <w:r>
        <w:t>Revenu récupéré, conversion, marge, capacité</w:t>
      </w:r>
    </w:p>
    <w:p w14:paraId="34A125E1" w14:textId="77777777" w:rsidR="00C6488D" w:rsidRDefault="00C6488D"/>
    <w:p w14:paraId="2536F9AA" w14:textId="77777777" w:rsidR="00C6488D" w:rsidRDefault="00000000">
      <w:pPr>
        <w:spacing w:after="200" w:line="288" w:lineRule="auto"/>
      </w:pPr>
      <w:r>
        <w:rPr>
          <w:b/>
          <w:color w:val="E76F1D"/>
          <w:sz w:val="24"/>
        </w:rPr>
        <w:t>Idée-force : chez TransferAI, l’IA ne crée pas de valeur en théorie. Elle récupère du revenu perdu, accélère la conversion, protège la marge et augmente la capacité d’exécution.</w:t>
      </w:r>
    </w:p>
    <w:p w14:paraId="4914A8D4" w14:textId="77777777" w:rsidR="00C6488D" w:rsidRDefault="00000000">
      <w:pPr>
        <w:pStyle w:val="Heading1"/>
      </w:pPr>
      <w:r>
        <w:t>Message central de la slide</w:t>
      </w:r>
    </w:p>
    <w:p w14:paraId="389D9E17" w14:textId="77777777" w:rsidR="00C6488D" w:rsidRDefault="00000000">
      <w:pPr>
        <w:spacing w:after="160"/>
      </w:pPr>
      <w:r>
        <w:t>L’IA crée de la valeur quand elle améliore un KPI métier déjà connu : churn, conversion, délai, volume traité, coût par dossier ou marge protégée.</w:t>
      </w:r>
    </w:p>
    <w:tbl>
      <w:tblPr>
        <w:tblStyle w:val="TableGrid"/>
        <w:tblW w:w="9360" w:type="dxa"/>
        <w:tblInd w:w="12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6488D" w14:paraId="1D5F61FD" w14:textId="77777777">
        <w:tc>
          <w:tcPr>
            <w:tcW w:w="4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A05D" w14:textId="77777777" w:rsidR="00C6488D" w:rsidRDefault="00000000">
            <w:pPr>
              <w:pStyle w:val="CardTitle"/>
              <w:spacing w:after="80"/>
            </w:pPr>
            <w:r>
              <w:t>1. Revenu récupéré</w:t>
            </w:r>
          </w:p>
          <w:p w14:paraId="0C02D89E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Churn réduit</w:t>
            </w:r>
          </w:p>
          <w:p w14:paraId="643CEE27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Réclamations mieux traitées</w:t>
            </w:r>
          </w:p>
          <w:p w14:paraId="10893652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Signaux clients mieux détectés</w:t>
            </w:r>
          </w:p>
        </w:tc>
        <w:tc>
          <w:tcPr>
            <w:tcW w:w="468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ADB2" w14:textId="77777777" w:rsidR="00C6488D" w:rsidRDefault="00000000">
            <w:pPr>
              <w:pStyle w:val="CardTitle"/>
              <w:spacing w:after="80"/>
            </w:pPr>
            <w:r>
              <w:t>2. Conversion accélérée</w:t>
            </w:r>
          </w:p>
          <w:p w14:paraId="3E157190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Segmentation plus utile</w:t>
            </w:r>
          </w:p>
          <w:p w14:paraId="57B26A5E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Relances plus rapides</w:t>
            </w:r>
          </w:p>
          <w:p w14:paraId="72A775CE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Messages plus performants</w:t>
            </w:r>
          </w:p>
        </w:tc>
      </w:tr>
      <w:tr w:rsidR="00C6488D" w14:paraId="4553D3B8" w14:textId="77777777">
        <w:tc>
          <w:tcPr>
            <w:tcW w:w="468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EE04" w14:textId="77777777" w:rsidR="00C6488D" w:rsidRDefault="00000000">
            <w:pPr>
              <w:pStyle w:val="CardTitle"/>
              <w:spacing w:after="80"/>
            </w:pPr>
            <w:r>
              <w:t>3. Marge protégée</w:t>
            </w:r>
          </w:p>
          <w:p w14:paraId="5C3DF7C0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Moins d’erreurs</w:t>
            </w:r>
          </w:p>
          <w:p w14:paraId="50567AF5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Moins de retards</w:t>
            </w:r>
          </w:p>
          <w:p w14:paraId="20B7ECA9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Moins de rework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D933" w14:textId="77777777" w:rsidR="00C6488D" w:rsidRDefault="00000000">
            <w:pPr>
              <w:pStyle w:val="CardTitle"/>
              <w:spacing w:after="80"/>
            </w:pPr>
            <w:r>
              <w:t>4. Capacité augmentée</w:t>
            </w:r>
          </w:p>
          <w:p w14:paraId="2DDF5025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Plus de volume traité</w:t>
            </w:r>
          </w:p>
          <w:p w14:paraId="6B127461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Même équipe</w:t>
            </w:r>
          </w:p>
          <w:p w14:paraId="3E079E61" w14:textId="77777777" w:rsidR="00C6488D" w:rsidRDefault="00000000">
            <w:pPr>
              <w:spacing w:after="60" w:line="283" w:lineRule="auto"/>
              <w:ind w:left="259" w:hanging="173"/>
            </w:pPr>
            <w:r>
              <w:rPr>
                <w:b/>
              </w:rPr>
              <w:t xml:space="preserve">• </w:t>
            </w:r>
            <w:r>
              <w:t>Décisions plus rapides</w:t>
            </w:r>
          </w:p>
        </w:tc>
      </w:tr>
    </w:tbl>
    <w:p w14:paraId="3BEE0393" w14:textId="77777777" w:rsidR="00C6488D" w:rsidRDefault="00C6488D"/>
    <w:p w14:paraId="350BEE0D" w14:textId="77777777" w:rsidR="00C6488D" w:rsidRDefault="00000000">
      <w:pPr>
        <w:pStyle w:val="Heading1"/>
      </w:pPr>
      <w:r>
        <w:t>Texte prêt à copier dans la slide</w:t>
      </w:r>
    </w:p>
    <w:p w14:paraId="25B845C9" w14:textId="77777777" w:rsidR="00C6488D" w:rsidRDefault="00000000">
      <w:pPr>
        <w:pStyle w:val="Heading2"/>
      </w:pPr>
      <w:r>
        <w:t>Titre</w:t>
      </w:r>
    </w:p>
    <w:p w14:paraId="2959FA6D" w14:textId="77777777" w:rsidR="00C6488D" w:rsidRDefault="00000000">
      <w:r>
        <w:t>Comment l’IA régénère de l’argent par secteur</w:t>
      </w:r>
    </w:p>
    <w:p w14:paraId="7BE8E93B" w14:textId="77777777" w:rsidR="00C6488D" w:rsidRDefault="00000000">
      <w:pPr>
        <w:pStyle w:val="Heading2"/>
      </w:pPr>
      <w:r>
        <w:t>Sous-titre</w:t>
      </w:r>
    </w:p>
    <w:p w14:paraId="31488122" w14:textId="77777777" w:rsidR="00C6488D" w:rsidRDefault="00000000">
      <w:r>
        <w:t>Chez TransferAI, l’IA ne crée pas de valeur en théorie : elle récupère du revenu perdu, accélère la conversion, protège la marge et augmente la capacité d’exécution.</w:t>
      </w:r>
    </w:p>
    <w:p w14:paraId="458EC334" w14:textId="77777777" w:rsidR="00C6488D" w:rsidRDefault="00000000">
      <w:pPr>
        <w:pStyle w:val="Heading2"/>
      </w:pPr>
      <w:r>
        <w:t>Exemples sectoriels</w:t>
      </w:r>
    </w:p>
    <w:p w14:paraId="10E3712B" w14:textId="77777777" w:rsidR="00C6488D" w:rsidRDefault="00000000">
      <w:pPr>
        <w:spacing w:after="60" w:line="293" w:lineRule="auto"/>
        <w:ind w:left="360" w:hanging="202"/>
      </w:pPr>
      <w:r>
        <w:rPr>
          <w:b/>
        </w:rPr>
        <w:t xml:space="preserve">• </w:t>
      </w:r>
      <w:r>
        <w:t>Télécommunications : churn mieux anticipé, upsell mieux ciblé, service client plus rapide.</w:t>
      </w:r>
    </w:p>
    <w:p w14:paraId="007938D8" w14:textId="77777777" w:rsidR="00C6488D" w:rsidRDefault="00000000">
      <w:pPr>
        <w:spacing w:after="60" w:line="293" w:lineRule="auto"/>
        <w:ind w:left="360" w:hanging="202"/>
      </w:pPr>
      <w:r>
        <w:rPr>
          <w:b/>
        </w:rPr>
        <w:t xml:space="preserve">• </w:t>
      </w:r>
      <w:r>
        <w:t>Banque &amp; Assurance : dossiers traités plus vite, meilleure conversion, meilleure rétention.</w:t>
      </w:r>
    </w:p>
    <w:p w14:paraId="45866F1D" w14:textId="77777777" w:rsidR="00C6488D" w:rsidRDefault="00000000">
      <w:pPr>
        <w:spacing w:after="60" w:line="293" w:lineRule="auto"/>
        <w:ind w:left="360" w:hanging="202"/>
      </w:pPr>
      <w:r>
        <w:rPr>
          <w:b/>
        </w:rPr>
        <w:t xml:space="preserve">• </w:t>
      </w:r>
      <w:r>
        <w:t>Retail &amp; FMCG : campagnes plus ciblées, ventes mieux commentées, réseau commercial plus réactif.</w:t>
      </w:r>
    </w:p>
    <w:p w14:paraId="516191AA" w14:textId="77777777" w:rsidR="00C6488D" w:rsidRDefault="00000000">
      <w:pPr>
        <w:spacing w:after="60" w:line="293" w:lineRule="auto"/>
        <w:ind w:left="360" w:hanging="202"/>
      </w:pPr>
      <w:r>
        <w:rPr>
          <w:b/>
        </w:rPr>
        <w:t xml:space="preserve">• </w:t>
      </w:r>
      <w:r>
        <w:t>Industrie &amp; Logistique : moins de pertes cachées, arbitrages plus rapides, meilleure continuité opérationnelle.</w:t>
      </w:r>
    </w:p>
    <w:p w14:paraId="271DFBCE" w14:textId="77777777" w:rsidR="00C6488D" w:rsidRDefault="00000000">
      <w:pPr>
        <w:pStyle w:val="Heading2"/>
      </w:pPr>
      <w:r>
        <w:t>Phrase de conclusion</w:t>
      </w:r>
    </w:p>
    <w:p w14:paraId="4451C788" w14:textId="77777777" w:rsidR="00C6488D" w:rsidRDefault="00000000">
      <w:r>
        <w:t>L’IA régénère de l’argent quand elle agit sur un KPI métier clair : conversion, churn, délai, volume traité, coût par dossier ou marge protégée.</w:t>
      </w:r>
    </w:p>
    <w:p w14:paraId="10608101" w14:textId="77777777" w:rsidR="00C6488D" w:rsidRDefault="00000000">
      <w:pPr>
        <w:pStyle w:val="Heading1"/>
      </w:pPr>
      <w:r>
        <w:t>Mise en page recommandée</w:t>
      </w:r>
    </w:p>
    <w:p w14:paraId="6141B99C" w14:textId="77777777" w:rsidR="00C6488D" w:rsidRDefault="00000000">
      <w:pPr>
        <w:spacing w:after="80" w:line="288" w:lineRule="auto"/>
      </w:pPr>
      <w:r>
        <w:rPr>
          <w:b/>
        </w:rPr>
        <w:t xml:space="preserve">Structure : </w:t>
      </w:r>
      <w:r>
        <w:t>Titre en haut à gauche, sous-titre sur deux lignes, bloc message central au milieu, puis quatre cartes autour ou sous le centre.</w:t>
      </w:r>
    </w:p>
    <w:p w14:paraId="317A82FE" w14:textId="77777777" w:rsidR="00C6488D" w:rsidRDefault="00000000">
      <w:pPr>
        <w:spacing w:after="80" w:line="288" w:lineRule="auto"/>
      </w:pPr>
      <w:r>
        <w:rPr>
          <w:b/>
        </w:rPr>
        <w:t xml:space="preserve">Fond : </w:t>
      </w:r>
      <w:r>
        <w:t>Blanc cassé ou gris très clair pour garder une lecture premium et simple.</w:t>
      </w:r>
    </w:p>
    <w:p w14:paraId="440024A3" w14:textId="77777777" w:rsidR="00C6488D" w:rsidRDefault="00000000">
      <w:pPr>
        <w:spacing w:after="80" w:line="288" w:lineRule="auto"/>
      </w:pPr>
      <w:r>
        <w:rPr>
          <w:b/>
        </w:rPr>
        <w:t xml:space="preserve">Couleurs : </w:t>
      </w:r>
      <w:r>
        <w:t>Orange TransferAI pour le message central, bleu marine pour le titre et les sous-titres, accents teal ou dorés pour les cartes.</w:t>
      </w:r>
    </w:p>
    <w:p w14:paraId="548A5D4D" w14:textId="77777777" w:rsidR="00C6488D" w:rsidRDefault="00000000">
      <w:pPr>
        <w:spacing w:after="80" w:line="288" w:lineRule="auto"/>
      </w:pPr>
      <w:r>
        <w:rPr>
          <w:b/>
        </w:rPr>
        <w:t xml:space="preserve">Typographie : </w:t>
      </w:r>
      <w:r>
        <w:t>Titre très affirmé, sous-titre plus léger, très peu de texte par carte pour préserver la lisibilité.</w:t>
      </w:r>
    </w:p>
    <w:p w14:paraId="5B2A35E0" w14:textId="77777777" w:rsidR="00C6488D" w:rsidRDefault="00000000">
      <w:pPr>
        <w:spacing w:after="80" w:line="288" w:lineRule="auto"/>
      </w:pPr>
      <w:r>
        <w:rPr>
          <w:b/>
        </w:rPr>
        <w:t xml:space="preserve">Animation : </w:t>
      </w:r>
      <w:r>
        <w:t>Si la slide est présentée à l’oral, faire apparaître les quatre cartes l’une après l’autre autour du message central.</w:t>
      </w:r>
    </w:p>
    <w:p w14:paraId="7D61C995" w14:textId="77777777" w:rsidR="00C6488D" w:rsidRDefault="00000000">
      <w:pPr>
        <w:spacing w:after="80" w:line="288" w:lineRule="auto"/>
      </w:pPr>
      <w:r>
        <w:rPr>
          <w:b/>
        </w:rPr>
        <w:t xml:space="preserve">Formule orale : </w:t>
      </w:r>
      <w:r>
        <w:t>Notre promesse n’est pas l’IA pour l’IA. Notre promesse est simple : récupérer le revenu qui fuit, convertir plus vite, protéger la marge et augmenter la capacité des équipes, secteur par secteur.</w:t>
      </w:r>
    </w:p>
    <w:sectPr w:rsidR="00C6488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193061">
    <w:abstractNumId w:val="8"/>
  </w:num>
  <w:num w:numId="2" w16cid:durableId="1407655274">
    <w:abstractNumId w:val="6"/>
  </w:num>
  <w:num w:numId="3" w16cid:durableId="1872918444">
    <w:abstractNumId w:val="5"/>
  </w:num>
  <w:num w:numId="4" w16cid:durableId="724832744">
    <w:abstractNumId w:val="4"/>
  </w:num>
  <w:num w:numId="5" w16cid:durableId="1326545715">
    <w:abstractNumId w:val="7"/>
  </w:num>
  <w:num w:numId="6" w16cid:durableId="1817064335">
    <w:abstractNumId w:val="3"/>
  </w:num>
  <w:num w:numId="7" w16cid:durableId="2040158450">
    <w:abstractNumId w:val="2"/>
  </w:num>
  <w:num w:numId="8" w16cid:durableId="1327779271">
    <w:abstractNumId w:val="1"/>
  </w:num>
  <w:num w:numId="9" w16cid:durableId="453722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31AA"/>
    <w:rsid w:val="00AA1D8D"/>
    <w:rsid w:val="00AF1976"/>
    <w:rsid w:val="00B47730"/>
    <w:rsid w:val="00C648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5D13F"/>
  <w14:defaultImageDpi w14:val="300"/>
  <w15:docId w15:val="{00B545BD-304D-B34B-A493-1E895854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pPr>
      <w:spacing w:after="100"/>
    </w:pPr>
    <w:rPr>
      <w:rFonts w:ascii="Calibri" w:hAnsi="Calibri"/>
      <w:b/>
      <w:color w:val="1F4D7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vtoc limited</cp:lastModifiedBy>
  <cp:revision>2</cp:revision>
  <dcterms:created xsi:type="dcterms:W3CDTF">2026-06-24T06:44:00Z</dcterms:created>
  <dcterms:modified xsi:type="dcterms:W3CDTF">2026-06-24T06:44:00Z</dcterms:modified>
  <cp:category/>
</cp:coreProperties>
</file>