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160"/>
      </w:pPr>
      <w:r>
        <w:rPr>
          <w:rFonts w:ascii="Arial" w:hAnsi="Arial" w:cs="Arial"/>
          <w:sz w:val="56"/>
          <w:sz-cs w:val="56"/>
          <w:b/>
          <w:spacing w:val="0"/>
          <w:color w:val="0D121F"/>
        </w:rPr>
        <w:t xml:space="preserve">TransferAI Africa - Pack Administration et Exploitation</w:t>
      </w:r>
    </w:p>
    <w:p>
      <w:pPr>
        <w:spacing w:after="440"/>
      </w:pPr>
      <w:r>
        <w:rPr>
          <w:rFonts w:ascii="Arial" w:hAnsi="Arial" w:cs="Arial"/>
          <w:sz w:val="32"/>
          <w:sz-cs w:val="32"/>
          <w:spacing w:val="0"/>
          <w:color w:val="585E6D"/>
        </w:rPr>
        <w:t xml:space="preserve">Version exportable Word - mise à jour du 13 avril 2026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E2A"/>
        </w:rPr>
        <w:t xml:space="preserve">Objectif du document :</w:t>
      </w:r>
      <w:r>
        <w:rPr>
          <w:rFonts w:ascii="Arial" w:hAnsi="Arial" w:cs="Arial"/>
          <w:sz w:val="24"/>
          <w:sz-cs w:val="24"/>
          <w:spacing w:val="0"/>
          <w:color w:val="181E2A"/>
        </w:rPr>
        <w:t xml:space="preserve"> donner à l'administrateur principal et aux administrateurs relais une vue claire, exploitable et à jour du site, du back-office, des flux automatisés et des prochains chantiers.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E2A"/>
        </w:rPr>
        <w:t xml:space="preserve">Mise à jour importante :</w:t>
      </w:r>
      <w:r>
        <w:rPr>
          <w:rFonts w:ascii="Arial" w:hAnsi="Arial" w:cs="Arial"/>
          <w:sz w:val="24"/>
          <w:sz-cs w:val="24"/>
          <w:spacing w:val="0"/>
          <w:color w:val="181E2A"/>
        </w:rPr>
        <w:t xml:space="preserve"> ce pack reflète désormais la simplification des pages denses du site, la mise en avant de l'audit IA gratuit, le pipeline partenaires avec back-office et emails de suivi, l'amélioration des demandes catalogue, la règle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Bonjour</w:t>
      </w:r>
      <w:r>
        <w:rPr>
          <w:rFonts w:ascii="Arial" w:hAnsi="Arial" w:cs="Arial"/>
          <w:sz w:val="24"/>
          <w:sz-cs w:val="24"/>
          <w:spacing w:val="0"/>
          <w:color w:val="181E2A"/>
        </w:rPr>
        <w:t xml:space="preserve"> /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Bonsoir</w:t>
      </w:r>
      <w:r>
        <w:rPr>
          <w:rFonts w:ascii="Arial" w:hAnsi="Arial" w:cs="Arial"/>
          <w:sz w:val="24"/>
          <w:sz-cs w:val="24"/>
          <w:spacing w:val="0"/>
          <w:color w:val="181E2A"/>
        </w:rPr>
        <w:t xml:space="preserve"> dans les emails, ainsi que l'état réel du back-office, des tables et des edge functions.</w:t>
      </w:r>
    </w:p>
    <w:p>
      <w:pPr>
        <w:spacing w:after="348"/>
      </w:pPr>
      <w:r>
        <w:rPr>
          <w:rFonts w:ascii="Arial" w:hAnsi="Arial" w:cs="Arial"/>
          <w:sz w:val="42"/>
          <w:sz-cs w:val="42"/>
          <w:b/>
          <w:spacing w:val="0"/>
          <w:color w:val="0D121F"/>
        </w:rPr>
        <w:t xml:space="preserve">1. Vue d'ensemble du site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  <w:color w:val="181E2A"/>
        </w:rPr>
        <w:t xml:space="preserve">TransferAI Africa est une plateforme de formation, contenus, conseil et solutions IA avec un ancrage fort en Côte d'Ivoire et une vocation africaine.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  <w:color w:val="181E2A"/>
        </w:rPr>
        <w:t xml:space="preserve">Le site s'organise autour de 4 piliers :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Education : hub, catalogue, parcours, certification, formats live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Entreprises : audit IA, accompagnement, conseil, adoption et solutions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Ressources : blog, veille, guides, études de cas, newsletter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Outils IA : matrice par domaine, usages, niveaux et formats de formation</w:t>
      </w:r>
    </w:p>
    <w:p>
      <w:pPr>
        <w:spacing w:after="348"/>
      </w:pPr>
      <w:r>
        <w:rPr>
          <w:rFonts w:ascii="Arial" w:hAnsi="Arial" w:cs="Arial"/>
          <w:sz w:val="42"/>
          <w:sz-cs w:val="42"/>
          <w:b/>
          <w:spacing w:val="0"/>
          <w:color w:val="0D121F"/>
        </w:rPr>
        <w:t xml:space="preserve">2. Ce qui a été clarifié récemment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allègement de plusieurs pages historiquement trop chargées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clarification de la page </w:t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Contact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 autour de la porte d'entrée publique </w:t>
      </w:r>
      <w:r>
        <w:rPr>
          <w:rFonts w:ascii="Arial" w:hAnsi="Arial" w:cs="Arial"/>
          <w:sz w:val="32"/>
          <w:sz-cs w:val="32"/>
          <w:b/>
          <w:spacing w:val="0"/>
          <w:color w:val="181E2A"/>
        </w:rPr>
        <w:t xml:space="preserve">Parler à un expert IA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meilleure mise en avant de l'audit IA gratuit dans les parcours B2B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renforcement des réponses catalogue pour donner plus vite le bon contenu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nettoyage progressif des CTA pour éviter les confusions entre audit, devis, catalogue et prise de rendez-vous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stabilisation des liens profonds </w:t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contact?intent=...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 en production</w:t>
      </w:r>
    </w:p>
    <w:p>
      <w:pPr>
        <w:spacing w:after="348"/>
      </w:pPr>
      <w:r>
        <w:rPr>
          <w:rFonts w:ascii="Arial" w:hAnsi="Arial" w:cs="Arial"/>
          <w:sz w:val="42"/>
          <w:sz-cs w:val="42"/>
          <w:b/>
          <w:spacing w:val="0"/>
          <w:color w:val="0D121F"/>
        </w:rPr>
        <w:t xml:space="preserve">3. Pages structurantes</w:t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/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 : accueil</w:t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/education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 : hub formation</w:t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/catalogue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 : catalogue</w:t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/parcours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 : parcours guidés</w:t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/certification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 : certification sectorielle</w:t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/outils-ia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 : matrice des outils IA</w:t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/entreprises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 et </w:t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/services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 : offre entreprise</w:t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/blog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 : hub ressources</w:t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/partenaires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 : présence et partenariats</w:t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/contact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 : formulaires et demandes qualifiées</w:t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/back-office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 : administration</w:t>
      </w:r>
    </w:p>
    <w:p>
      <w:pPr>
        <w:spacing w:after="348"/>
      </w:pPr>
      <w:r>
        <w:rPr>
          <w:rFonts w:ascii="Arial" w:hAnsi="Arial" w:cs="Arial"/>
          <w:sz w:val="42"/>
          <w:sz-cs w:val="42"/>
          <w:b/>
          <w:spacing w:val="0"/>
          <w:color w:val="0D121F"/>
        </w:rPr>
        <w:t xml:space="preserve">4. Back-office réel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  <w:color w:val="181E2A"/>
        </w:rPr>
        <w:t xml:space="preserve">Le back-office comprend aujourd'hui :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Analytics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Ressources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Brouillons IA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Newsletter IA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Partenaires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Emplois IA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Mode d'emploi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  <w:color w:val="181E2A"/>
        </w:rPr>
        <w:t xml:space="preserve">Il nécessite un token administrateur valide basé sur le secret </w:t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CONTENT_ADMIN_TOKEN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.</w:t>
      </w:r>
    </w:p>
    <w:p>
      <w:pPr>
        <w:spacing w:after="348"/>
      </w:pPr>
      <w:r>
        <w:rPr>
          <w:rFonts w:ascii="Arial" w:hAnsi="Arial" w:cs="Arial"/>
          <w:sz w:val="42"/>
          <w:sz-cs w:val="42"/>
          <w:b/>
          <w:spacing w:val="0"/>
          <w:color w:val="0D121F"/>
        </w:rPr>
        <w:t xml:space="preserve">5. Tables et flux principaux</w:t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contact_requests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registration_requests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page_views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resource_posts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job_opportunities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source_feeds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source_signals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editorial_jobs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newsletter_subscriptions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newsletter_issues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newsletter_delivery_logs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partner_offer_catalog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partner_email_templates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partner_listing_reviews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partner_followup_jobs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spacing w:after="348"/>
      </w:pPr>
      <w:r>
        <w:rPr>
          <w:rFonts w:ascii="Arial" w:hAnsi="Arial" w:cs="Arial"/>
          <w:sz w:val="42"/>
          <w:sz-cs w:val="42"/>
          <w:b/>
          <w:spacing w:val="0"/>
          <w:color w:val="0D121F"/>
        </w:rPr>
        <w:t xml:space="preserve">6. Edge functions et automatisations</w:t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content-admin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content-discovery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content-classifier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content-drafter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newsletter-subscribe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newsletter-drafter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newsletter-send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newsletter-scheduler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send-prospect-emails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partner-review-drafter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partner-followup-send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181E2A"/>
        </w:rPr>
        <w:t xml:space="preserve">Point important :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 la fonction </w:t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send-prospect-emails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 est désormais au centre des accusés de réception, des réponses catalogue, des qualifications de demande et d'une partie des réponses partenaires.</w:t>
      </w:r>
    </w:p>
    <w:p>
      <w:pPr>
        <w:spacing w:after="348"/>
      </w:pPr>
      <w:r>
        <w:rPr>
          <w:rFonts w:ascii="Arial" w:hAnsi="Arial" w:cs="Arial"/>
          <w:sz w:val="42"/>
          <w:sz-cs w:val="42"/>
          <w:b/>
          <w:spacing w:val="0"/>
          <w:color w:val="0D121F"/>
        </w:rPr>
        <w:t xml:space="preserve">7. Blog et pipeline éditorial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  <w:color w:val="181E2A"/>
        </w:rPr>
        <w:t xml:space="preserve">Le blog est un actif de crédibilité, de SEO et de conversion. Il repose sur :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des contenus publiés manuellement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des sources suivies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des signaux détectés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des brouillons IA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une validation humaine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  <w:color w:val="181E2A"/>
        </w:rPr>
        <w:t xml:space="preserve">Formats actuels :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Veille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Guides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Études de cas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Expertise &amp; IA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  <w:color w:val="181E2A"/>
        </w:rPr>
        <w:t xml:space="preserve">Décision éditoriale désormais stabilisée : le badge de type reste visible, mais le mot n'est plus répété inutilement au début des titres lorsque cela alourdit la lecture.</w:t>
      </w:r>
    </w:p>
    <w:p>
      <w:pPr>
        <w:spacing w:after="348"/>
      </w:pPr>
      <w:r>
        <w:rPr>
          <w:rFonts w:ascii="Arial" w:hAnsi="Arial" w:cs="Arial"/>
          <w:sz w:val="42"/>
          <w:sz-cs w:val="42"/>
          <w:b/>
          <w:spacing w:val="0"/>
          <w:color w:val="0D121F"/>
        </w:rPr>
        <w:t xml:space="preserve">8. Newsletter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  <w:color w:val="181E2A"/>
        </w:rPr>
        <w:t xml:space="preserve">La newsletter est ciblée par domaine. Une édition contient :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un signal clé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un conseil pratique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un outil à connaître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un prompt de la semaine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un bloc éditorial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un CTA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  <w:color w:val="181E2A"/>
        </w:rPr>
        <w:t xml:space="preserve">Automatisation actuelle :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mercredi 06:00 : génération hebdomadaire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vendredi 08:30 : tentative d'envoi de l'édition approuvée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  <w:color w:val="181E2A"/>
        </w:rPr>
        <w:t xml:space="preserve">Le modèle recommandé reste : </w:t>
      </w:r>
      <w:r>
        <w:rPr>
          <w:rFonts w:ascii="Arial" w:hAnsi="Arial" w:cs="Arial"/>
          <w:sz w:val="32"/>
          <w:sz-cs w:val="32"/>
          <w:b/>
          <w:spacing w:val="0"/>
          <w:color w:val="181E2A"/>
        </w:rPr>
        <w:t xml:space="preserve">IA prépare, humain valide, système envoie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.</w:t>
      </w:r>
    </w:p>
    <w:p>
      <w:pPr>
        <w:spacing w:after="348"/>
      </w:pPr>
      <w:r>
        <w:rPr>
          <w:rFonts w:ascii="Arial" w:hAnsi="Arial" w:cs="Arial"/>
          <w:sz w:val="42"/>
          <w:sz-cs w:val="42"/>
          <w:b/>
          <w:spacing w:val="0"/>
          <w:color w:val="0D121F"/>
        </w:rPr>
        <w:t xml:space="preserve">9. Pipeline partenaires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  <w:color w:val="181E2A"/>
        </w:rPr>
        <w:t xml:space="preserve">Le parcours partenaires n'est plus un simple formulaire. Il inclut désormais :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un formulaire public de référencement / présence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une distinction entre référencement partenaire et partenariat stratégique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une revue en back-office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une recommandation IA de formule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une validation humaine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un email de réponse au prospect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  <w:color w:val="181E2A"/>
        </w:rPr>
        <w:t xml:space="preserve">Le site a donc quitté une logique purement informative pour entrer dans une logique de qualification et de suivi commercial plus structurée.</w:t>
      </w:r>
    </w:p>
    <w:p>
      <w:pPr>
        <w:spacing w:after="348"/>
      </w:pPr>
      <w:r>
        <w:rPr>
          <w:rFonts w:ascii="Arial" w:hAnsi="Arial" w:cs="Arial"/>
          <w:sz w:val="42"/>
          <w:sz-cs w:val="42"/>
          <w:b/>
          <w:spacing w:val="0"/>
          <w:color w:val="0D121F"/>
        </w:rPr>
        <w:t xml:space="preserve">10. Emails automatiques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  <w:color w:val="181E2A"/>
        </w:rPr>
        <w:t xml:space="preserve">Les courriers automatiques ont été harmonisés pour être plus lisibles et plus cohérents selon l'intention du visiteur.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salutation horaire : </w:t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Bonjour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 avant 12h, </w:t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Bonsoir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 après 12h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suppression progressive des liens de RDV ambigus lorsqu'ils ne sont pas pertinents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meilleure distinction entre demande catalogue, demande formation, demande de contact et parcours partenaires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accès plus direct au bon catalogue lorsque le besoin du prospect est clair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mise en avant d'un CTA audit uniquement quand il apporte une vraie suite logique</w:t>
      </w:r>
    </w:p>
    <w:p>
      <w:pPr>
        <w:spacing w:after="348"/>
      </w:pPr>
      <w:r>
        <w:rPr>
          <w:rFonts w:ascii="Arial" w:hAnsi="Arial" w:cs="Arial"/>
          <w:sz w:val="42"/>
          <w:sz-cs w:val="42"/>
          <w:b/>
          <w:spacing w:val="0"/>
          <w:color w:val="0D121F"/>
        </w:rPr>
        <w:t xml:space="preserve">11. Certification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  <w:color w:val="181E2A"/>
        </w:rPr>
        <w:t xml:space="preserve">La certification est pensée pour plusieurs métiers. Elle repose sur un socle commun puis une spécialisation sectorielle.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durée : 5 jours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adaptation par domaine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évaluation continue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seuil de validation : 70/100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pas de soutenance jury</w:t>
      </w:r>
    </w:p>
    <w:p>
      <w:pPr>
        <w:spacing w:after="348"/>
      </w:pPr>
      <w:r>
        <w:rPr>
          <w:rFonts w:ascii="Arial" w:hAnsi="Arial" w:cs="Arial"/>
          <w:sz w:val="42"/>
          <w:sz-cs w:val="42"/>
          <w:b/>
          <w:spacing w:val="0"/>
          <w:color w:val="0D121F"/>
        </w:rPr>
        <w:t xml:space="preserve">12. Export Word et gouvernance documentaire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  <w:color w:val="181E2A"/>
        </w:rPr>
        <w:t xml:space="preserve">Le JSON chatbot est maintenant valide et le pack documentaire reste la référence pour :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la continuité d'administration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la transmission aux autres administrateurs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la préparation d'un futur assistant IA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le partage direction / partenaires / support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E2A"/>
        </w:rPr>
        <w:t xml:space="preserve">Conseil pratique :</w:t>
      </w:r>
      <w:r>
        <w:rPr>
          <w:rFonts w:ascii="Arial" w:hAnsi="Arial" w:cs="Arial"/>
          <w:sz w:val="24"/>
          <w:sz-cs w:val="24"/>
          <w:spacing w:val="0"/>
          <w:color w:val="181E2A"/>
        </w:rPr>
        <w:t xml:space="preserve"> ouvrez ce fichier dans Microsoft Word, puis utilisez </w:t>
      </w:r>
      <w:r>
        <w:rPr>
          <w:rFonts w:ascii="Arial" w:hAnsi="Arial" w:cs="Arial"/>
          <w:sz w:val="24"/>
          <w:sz-cs w:val="24"/>
          <w:i/>
          <w:spacing w:val="0"/>
          <w:color w:val="181E2A"/>
        </w:rPr>
        <w:t xml:space="preserve">Enregistrer sous</w:t>
      </w:r>
      <w:r>
        <w:rPr>
          <w:rFonts w:ascii="Arial" w:hAnsi="Arial" w:cs="Arial"/>
          <w:sz w:val="24"/>
          <w:sz-cs w:val="24"/>
          <w:spacing w:val="0"/>
          <w:color w:val="181E2A"/>
        </w:rPr>
        <w:t xml:space="preserve"> pour le convertir en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.docx</w:t>
      </w:r>
      <w:r>
        <w:rPr>
          <w:rFonts w:ascii="Arial" w:hAnsi="Arial" w:cs="Arial"/>
          <w:sz w:val="24"/>
          <w:sz-cs w:val="24"/>
          <w:spacing w:val="0"/>
          <w:color w:val="181E2A"/>
        </w:rPr>
        <w:t xml:space="preserve"> avant partage aux autres administrateurs.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CocoaOOXMLWriter/2487.7</generator>
</meta>
</file>