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60"/>
      </w:pPr>
      <w:r>
        <w:rPr>
          <w:rFonts w:ascii="Arial" w:hAnsi="Arial" w:cs="Arial"/>
          <w:sz w:val="56"/>
          <w:sz-cs w:val="56"/>
          <w:b/>
          <w:spacing w:val="0"/>
          <w:color w:val="0D121F"/>
        </w:rPr>
        <w:t xml:space="preserve">TransferAI Africa - Note Direction / Partage Externe</w:t>
      </w:r>
    </w:p>
    <w:p>
      <w:pPr>
        <w:spacing w:after="440"/>
      </w:pPr>
      <w:r>
        <w:rPr>
          <w:rFonts w:ascii="Arial" w:hAnsi="Arial" w:cs="Arial"/>
          <w:sz w:val="32"/>
          <w:sz-cs w:val="32"/>
          <w:spacing w:val="0"/>
          <w:color w:val="585E6D"/>
        </w:rPr>
        <w:t xml:space="preserve">Version synthétique - mise à jour du 13 avril 2026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Objet 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présenter l'état actuel du site TransferAI Africa, sa valeur business, les briques déjà construites et les prochains axes de développement dans un format court, partageable et non technique.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Faits marquants récents 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le site a été simplifié sur plusieurs pages denses, l'audit IA gratuit est désormais mieux exposé, le pipeline partenaires est opérationnel avec back-office et recommandation IA, les demandes catalogue sont plus directes, et les emails automatiques ont gagné en clarté.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1. Ce qu'est aujourd'hui TransferAI Africa</w:t>
      </w:r>
    </w:p>
    <w:p>
      <w:pPr>
        <w:spacing w:after="320"/>
      </w:pPr>
      <w:r>
        <w:rPr>
          <w:rFonts w:ascii="Arial" w:hAnsi="Arial" w:cs="Arial"/>
          <w:sz w:val="32"/>
          <w:sz-cs w:val="32"/>
          <w:spacing w:val="0"/>
          <w:color w:val="181E2A"/>
        </w:rPr>
        <w:t xml:space="preserve">TransferAI Africa n'est plus seulement un site vitrine. C'est désormais une plateforme structurée qui combine :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formation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certification sectorielle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offre entreprise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ressources éditoriales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matrice outils IA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back-office d'administration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pipeline éditorial assisté par IA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newsletter ciblée par domaine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2. Ce que le site permet déjà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présenter l'offre de formation et de certification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orienter les visiteurs selon leur profil et leur besoin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capter des leads entreprise avec une porte d'entrée plus claire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mettre en avant un audit IA gratuit comme levier de conversion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répondre plus vite aux demandes catalogue par domaine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alimenter une audience avec blog, veille et newsletter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recevoir et traiter des demandes partenaires ou de référencement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piloter plusieurs opérations depuis un back-office centralisé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3. Différenciation stratégique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FR d'abord, ancrage Côte d'Ivoire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approche métier et non gadget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13 domaines d'expertise couverts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combinaison formation + contenus + entreprise + outils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logique de veille transformée en contenus actionnables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base déjà exploitable pour un futur assistant IA ou chatbot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4. Valeur business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vitrine premium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support de conversion commerciale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outil de crédibilité éditoriale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socle de nurturing via la newsletter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base de connaissance pour automatisations futures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5. Briques déjà en place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front structuré et déployé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blog dynamique et pages articles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certification sectorielle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matrice outils IA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back-office contenus, newsletter et partenaires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pipeline éditorial assisté par IA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newsletter par domaine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pipeline partenaires avec revue, scoring et email de réponse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emails transactionnels plus professionnels avec salutation horaire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6. Lecture de maturité actuelle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le site n'est plus seulement informatif, il devient un outil de conversion et de relation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l'offre entreprise est mieux mise en avant grâce à l'audit IA gratuit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la page contact a été recadrée autour d'une entrée plus lisible : </w:t>
      </w:r>
      <w:r>
        <w:rPr>
          <w:rFonts w:ascii="Arial" w:hAnsi="Arial" w:cs="Arial"/>
          <w:sz w:val="32"/>
          <w:sz-cs w:val="32"/>
          <w:b/>
          <w:spacing w:val="0"/>
          <w:color w:val="181E2A"/>
        </w:rPr>
        <w:t xml:space="preserve">Parler à un expert IA</w:t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les réponses catalogue et formation sont mieux différenciées pour éviter les suites ambiguës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la partie partenaires fonctionne de plus en plus comme un vrai parcours business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la ligne éditoriale est plus claire, plus courte et plus fluide qu'au départ</w:t>
      </w:r>
    </w:p>
    <w:p>
      <w:pPr>
        <w:spacing w:after="348"/>
      </w:pPr>
      <w:r>
        <w:rPr>
          <w:rFonts w:ascii="Arial" w:hAnsi="Arial" w:cs="Arial"/>
          <w:sz w:val="42"/>
          <w:sz-cs w:val="42"/>
          <w:b/>
          <w:spacing w:val="0"/>
          <w:color w:val="0D121F"/>
        </w:rPr>
        <w:t xml:space="preserve">7. Prochaines étapes rationnelles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industrialiser l'édition newsletter hebdomadaire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renforcer le futur assistant IA à partir de la base de connaissance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continuer à simplifier les pages encore trop denses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étendre progressivement les contenus EN les plus stratégiques</w:t>
      </w:r>
    </w:p>
    <w:p>
      <w:pPr>
        <w:ind w:left="720" w:first-line="-720"/>
      </w:pPr>
      <w:r>
        <w:rPr>
          <w:rFonts w:ascii="Arial" w:hAnsi="Arial" w:cs="Arial"/>
          <w:sz w:val="32"/>
          <w:sz-cs w:val="32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32"/>
          <w:sz-cs w:val="32"/>
          <w:spacing w:val="0"/>
          <w:color w:val="181E2A"/>
        </w:rPr>
        <w:t xml:space="preserve">renforcer les analytics utiles à la direction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Conclusion 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le site a déjà franchi le cap du simple site institutionnel. Il sert désormais à informer, convertir, administrer, crédibiliser et préparer la prochaine couche d'automatisation intelligente de TransferAI Africa.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CocoaOOXMLWriter/2487.7</generator>
</meta>
</file>