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B3F6E" w:val="clear"/>
            <w:tcMar>
              <w:top w:type="dxa" w:w="600"/>
              <w:left w:type="dxa" w:w="400"/>
              <w:bottom w:type="dxa" w:w="600"/>
              <w:right w:type="dxa" w:w="4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2"/>
                <w:szCs w:val="52"/>
              </w:rPr>
              <w:t xml:space="preserve">TransferAI Africa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E8A020"/>
                <w:sz w:val="24"/>
                <w:szCs w:val="24"/>
              </w:rPr>
              <w:t xml:space="preserve">Solutions d'Intelligence Artificielle pour l'Afrique</w:t>
            </w:r>
          </w:p>
        </w:tc>
      </w:tr>
    </w:tbl>
    <w:p>
      <w:pPr>
        <w:spacing w:after="100" w:before="400"/>
      </w:pPr>
      <w:r>
        <w:t xml:space="preserve"/>
      </w:r>
    </w:p>
    <w:p>
      <w:pPr>
        <w:spacing w:after="60" w:before="100"/>
        <w:jc w:val="center"/>
      </w:pPr>
      <w:r>
        <w:rPr>
          <w:rFonts w:ascii="Arial" w:cs="Arial" w:eastAsia="Arial" w:hAnsi="Arial"/>
          <w:b/>
          <w:bCs/>
          <w:color w:val="1B3F6E"/>
          <w:sz w:val="56"/>
          <w:szCs w:val="56"/>
        </w:rPr>
        <w:t xml:space="preserve">GUIDE COMPLET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color w:val="E8A020"/>
          <w:sz w:val="40"/>
          <w:szCs w:val="40"/>
        </w:rPr>
        <w:t xml:space="preserve">Recherche Documentaire Intelligente</w:t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0D7D6B"/>
          <w:sz w:val="28"/>
          <w:szCs w:val="28"/>
        </w:rPr>
        <w:t xml:space="preserve">Powered by RAG — Retrieval Augmented Generation</w:t>
      </w:r>
    </w:p>
    <w:p>
      <w:pPr>
        <w:pBdr>
          <w:bottom w:val="single" w:color="E8A020" w:sz="20" w:space="1"/>
        </w:pBdr>
        <w:spacing w:after="60" w:before="60"/>
      </w:pPr>
      <w:r>
        <w:t xml:space="preserve"/>
      </w:r>
    </w:p>
    <w:p>
      <w:pPr>
        <w:spacing w:after="100" w:before="20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00"/>
        <w:gridCol w:w="3100"/>
        <w:gridCol w:w="200"/>
        <w:gridCol w:w="3146"/>
      </w:tblGrid>
      <w:tr>
        <w:tc>
          <w:tcPr>
            <w:tcW w:type="dxa" w:w="3100"/>
            <w:tcBorders>
              <w:top w:val="none"/>
              <w:left w:val="none"/>
              <w:bottom w:val="none"/>
              <w:right w:val="none"/>
            </w:tcBorders>
            <w:shd w:fill="1B3F6E" w:val="clear"/>
            <w:tcMar>
              <w:top w:type="dxa" w:w="300"/>
              <w:left w:type="dxa" w:w="200"/>
              <w:bottom w:type="dxa" w:w="30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8A020"/>
                <w:sz w:val="96"/>
                <w:szCs w:val="96"/>
              </w:rPr>
              <w:t xml:space="preserve">R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Retrieval</w:t>
            </w:r>
          </w:p>
          <w:p>
            <w:pPr>
              <w:spacing w:after="0" w:before="60"/>
              <w:jc w:val="center"/>
            </w:pPr>
            <w:r>
              <w:rPr>
                <w:rFonts w:ascii="Arial" w:cs="Arial" w:eastAsia="Arial" w:hAnsi="Arial"/>
                <w:color w:val="BBCCDD"/>
                <w:sz w:val="19"/>
                <w:szCs w:val="19"/>
              </w:rPr>
              <w:t xml:space="preserve">Recherche dans vos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BBCCDD"/>
                <w:sz w:val="19"/>
                <w:szCs w:val="19"/>
              </w:rPr>
              <w:t xml:space="preserve">propres documents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40"/>
                <w:szCs w:val="40"/>
              </w:rPr>
              <w:t xml:space="preserve">+</w:t>
            </w:r>
          </w:p>
        </w:tc>
        <w:tc>
          <w:tcPr>
            <w:tcW w:type="dxa" w:w="3100"/>
            <w:tcBorders>
              <w:top w:val="none"/>
              <w:left w:val="none"/>
              <w:bottom w:val="none"/>
              <w:right w:val="none"/>
            </w:tcBorders>
            <w:shd w:fill="0D7D6B" w:val="clear"/>
            <w:tcMar>
              <w:top w:type="dxa" w:w="300"/>
              <w:left w:type="dxa" w:w="200"/>
              <w:bottom w:type="dxa" w:w="30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8A020"/>
                <w:sz w:val="96"/>
                <w:szCs w:val="96"/>
              </w:rPr>
              <w:t xml:space="preserve">A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Augmented</w:t>
            </w:r>
          </w:p>
          <w:p>
            <w:pPr>
              <w:spacing w:after="0" w:before="60"/>
              <w:jc w:val="center"/>
            </w:pPr>
            <w:r>
              <w:rPr>
                <w:rFonts w:ascii="Arial" w:cs="Arial" w:eastAsia="Arial" w:hAnsi="Arial"/>
                <w:color w:val="BBDDCC"/>
                <w:sz w:val="19"/>
                <w:szCs w:val="19"/>
              </w:rPr>
              <w:t xml:space="preserve">Enrichie avec les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BBDDCC"/>
                <w:sz w:val="19"/>
                <w:szCs w:val="19"/>
              </w:rPr>
              <w:t xml:space="preserve">extraits pertinents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40"/>
                <w:szCs w:val="40"/>
              </w:rPr>
              <w:t xml:space="preserve">+</w:t>
            </w:r>
          </w:p>
        </w:tc>
        <w:tc>
          <w:tcPr>
            <w:tcW w:type="dxa" w:w="3146"/>
            <w:tcBorders>
              <w:top w:val="none"/>
              <w:left w:val="none"/>
              <w:bottom w:val="none"/>
              <w:right w:val="none"/>
            </w:tcBorders>
            <w:shd w:fill="E8A020" w:val="clear"/>
            <w:tcMar>
              <w:top w:type="dxa" w:w="300"/>
              <w:left w:type="dxa" w:w="200"/>
              <w:bottom w:type="dxa" w:w="30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F6E"/>
                <w:sz w:val="96"/>
                <w:szCs w:val="96"/>
              </w:rPr>
              <w:t xml:space="preserve">G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F6E"/>
                <w:sz w:val="28"/>
                <w:szCs w:val="28"/>
              </w:rPr>
              <w:t xml:space="preserve">Generation</w:t>
            </w:r>
          </w:p>
          <w:p>
            <w:pPr>
              <w:spacing w:after="0" w:before="60"/>
              <w:jc w:val="center"/>
            </w:pPr>
            <w:r>
              <w:rPr>
                <w:rFonts w:ascii="Arial" w:cs="Arial" w:eastAsia="Arial" w:hAnsi="Arial"/>
                <w:color w:val="1B3F6E"/>
                <w:sz w:val="19"/>
                <w:szCs w:val="19"/>
              </w:rPr>
              <w:t xml:space="preserve">Rédige une réponse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1B3F6E"/>
                <w:sz w:val="19"/>
                <w:szCs w:val="19"/>
              </w:rPr>
              <w:t xml:space="preserve">claire et sourcée</w:t>
            </w:r>
          </w:p>
        </w:tc>
      </w:tr>
    </w:tbl>
    <w:p>
      <w:pPr>
        <w:spacing w:after="100" w:before="300"/>
      </w:pPr>
      <w:r>
        <w:t xml:space="preserve"/>
      </w:r>
    </w:p>
    <w:p>
      <w:pPr>
        <w:pBdr>
          <w:bottom w:val="single" w:color="E8A020" w:sz="12" w:space="1"/>
        </w:pBdr>
        <w:spacing w:after="60" w:before="60"/>
      </w:pPr>
      <w:r>
        <w:t xml:space="preserve"/>
      </w:r>
    </w:p>
    <w:p>
      <w:pPr>
        <w:spacing w:after="60" w:before="100"/>
      </w:pPr>
      <w:r>
        <w:t xml:space="preserve"/>
      </w:r>
    </w:p>
    <w:p>
      <w:pPr>
        <w:spacing w:after="40" w:before="6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Formation IA Pratique aux Metiers — Juillet 2026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Document confidentiel — Usage interne TransferAI Africa</w:t>
      </w:r>
    </w:p>
    <w:p>
      <w:pPr>
        <w:spacing w:after="40" w:before="40"/>
        <w:jc w:val="center"/>
      </w:pPr>
      <w:r>
        <w:rPr>
          <w:rFonts w:ascii="Arial" w:cs="Arial" w:eastAsia="Arial" w:hAnsi="Arial"/>
          <w:color w:val="0D7D6B"/>
          <w:sz w:val="20"/>
          <w:szCs w:val="20"/>
        </w:rPr>
        <w:t xml:space="preserve">contact@transferai.ci  |  www.transferai.ci</w:t>
      </w:r>
    </w:p>
    <w:p>
      <w:pPr>
        <w:spacing w:after="40" w:before="120"/>
        <w:jc w:val="center"/>
      </w:pPr>
      <w:r>
        <w:rPr>
          <w:rFonts w:ascii="Arial" w:cs="Arial" w:eastAsia="Arial" w:hAnsi="Arial"/>
          <w:i/>
          <w:iCs/>
          <w:color w:val="E8A020"/>
          <w:sz w:val="18"/>
          <w:szCs w:val="18"/>
        </w:rPr>
        <w:t xml:space="preserve">Mise à jour du contenu : 08 juillet 2026 — nouvelle interface web (partie 3.1), 5 nouveaux problèmes documentés et 2 fiches corrigées en partie 4, liens mis à jour en partie 5.2.</w:t>
      </w:r>
    </w:p>
    <w:p>
      <w:pPr>
        <w:sectPr>
          <w:headerReference w:type="default" r:id="rId7"/>
          <w:footerReference w:type="default" r:id="rId8"/>
          <w:pgSz w:w="11906" w:h="16838" w:orient="portrait"/>
          <w:pgMar w:top="720" w:right="1080" w:bottom="720" w:left="1080" w:header="708" w:footer="708" w:gutter="0"/>
          <w:pgNumType/>
          <w:docGrid w:linePitch="360"/>
        </w:sectPr>
      </w:pPr>
    </w:p>
    <w:p>
      <w:pPr>
        <w:pStyle w:val="Heading1"/>
        <w:spacing w:after="120" w:before="320"/>
      </w:pPr>
      <w:bookmarkStart w:name="part1" w:id="1"/>
      <w:r>
        <w:rPr>
          <w:rFonts w:ascii="Arial" w:cs="Arial" w:eastAsia="Arial" w:hAnsi="Arial"/>
          <w:b/>
          <w:bCs/>
          <w:color w:val="1B3F6E"/>
          <w:sz w:val="34"/>
          <w:szCs w:val="34"/>
        </w:rPr>
        <w:t xml:space="preserve">PARTIE 1 — Comprendre la Technologie RAG</w:t>
      </w:r>
      <w:bookmarkEnd w:id="1"/>
    </w:p>
    <w:p>
      <w:pPr>
        <w:pBdr>
          <w:bottom w:val="single" w:color="E8A020" w:sz="10" w:space="1"/>
        </w:pBdr>
        <w:spacing w:after="60" w:before="6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B3F6E"/>
          <w:sz w:val="26"/>
          <w:szCs w:val="26"/>
        </w:rPr>
        <w:t xml:space="preserve">1.1  Qu'est-ce que le RAG ?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RAG — Retrieval Augmented Generation — est une architecture d'intelligence artificielle qui révolutionne la façon dont les organisations exploitent leur propre documentation. Contrairement à un chatbot généraliste qui répond uniquement depuis sa mémoire de formation, le RAG donne à l'IA accès à VOS documents, en temps réel.</w:t>
      </w:r>
    </w:p>
    <w:p>
      <w:pPr>
        <w:spacing w:after="8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thick" w:color="1B3F6E" w:sz="12"/>
              <w:left w:val="thick" w:color="1B3F6E" w:sz="24"/>
              <w:bottom w:val="single" w:color="1B3F6E" w:sz="4"/>
              <w:right w:val="single" w:color="1B3F6E" w:sz="4"/>
            </w:tcBorders>
            <w:shd w:fill="D6E4F0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20"/>
            </w:pPr>
            <w:r>
              <w:rPr>
                <w:rFonts w:ascii="Arial" w:cs="Arial" w:eastAsia="Arial" w:hAnsi="Arial"/>
                <w:b/>
                <w:bCs/>
                <w:color w:val="1B3F6E"/>
                <w:sz w:val="21"/>
                <w:szCs w:val="21"/>
              </w:rPr>
              <w:t xml:space="preserve">Définition simple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1"/>
                <w:szCs w:val="21"/>
              </w:rPr>
              <w:t xml:space="preserve">Le RAG, c'est comme avoir un expert qui connait parfaitement toute votre documentation et qui peut répondre instantanément à n'importe quelle question en citant ses sources.</w:t>
            </w:r>
          </w:p>
        </w:tc>
      </w:tr>
    </w:tbl>
    <w:p>
      <w:pPr>
        <w:spacing w:after="60" w:before="12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200"/>
        <w:gridCol w:w="3046"/>
        <w:gridCol w:w="3000"/>
      </w:tblGrid>
      <w:tr>
        <w:trPr>
          <w:tblHeader/>
        </w:trPr>
        <w:tc>
          <w:tcPr>
            <w:tcW w:type="dxa" w:w="15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Lettre</w:t>
            </w:r>
          </w:p>
        </w:tc>
        <w:tc>
          <w:tcPr>
            <w:tcW w:type="dxa" w:w="22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Mot</w:t>
            </w:r>
          </w:p>
        </w:tc>
        <w:tc>
          <w:tcPr>
            <w:tcW w:type="dxa" w:w="3046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Ce que fait l'IA</w:t>
            </w:r>
          </w:p>
        </w:tc>
        <w:tc>
          <w:tcPr>
            <w:tcW w:type="dxa" w:w="30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Valeur pour vous</w:t>
            </w:r>
          </w:p>
        </w:tc>
      </w:tr>
      <w:tr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B3F6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B3F6E"/>
                <w:sz w:val="22"/>
                <w:szCs w:val="22"/>
              </w:rPr>
              <w:t xml:space="preserve">Retrieval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555555"/>
                <w:sz w:val="20"/>
                <w:szCs w:val="20"/>
              </w:rPr>
              <w:t xml:space="preserve">Recherche</w:t>
            </w:r>
          </w:p>
        </w:tc>
        <w:tc>
          <w:tcPr>
            <w:tcW w:type="dxa" w:w="30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Cherche et récupère les passages les plus pertinents de votre base documentaire en moins d'une seconde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Réponses basées sur VOS données, pas sur des informations génériques d'internet</w:t>
            </w:r>
          </w:p>
        </w:tc>
      </w:tr>
      <w:tr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D7D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A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5F0E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0D7D6B"/>
                <w:sz w:val="22"/>
                <w:szCs w:val="22"/>
              </w:rPr>
              <w:t xml:space="preserve">Augmented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555555"/>
                <w:sz w:val="20"/>
                <w:szCs w:val="20"/>
              </w:rPr>
              <w:t xml:space="preserve">Augmentée</w:t>
            </w:r>
          </w:p>
        </w:tc>
        <w:tc>
          <w:tcPr>
            <w:tcW w:type="dxa" w:w="30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Enrichit son contexte avec les extraits retrouvés avant de formuler sa réponse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5F0E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Réponses précises, complètes, contextualisées à votre réalité terrain</w:t>
            </w:r>
          </w:p>
        </w:tc>
      </w:tr>
      <w:tr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A02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G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F3D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E8A020"/>
                <w:sz w:val="22"/>
                <w:szCs w:val="22"/>
              </w:rPr>
              <w:t xml:space="preserve">Generation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555555"/>
                <w:sz w:val="20"/>
                <w:szCs w:val="20"/>
              </w:rPr>
              <w:t xml:space="preserve">Génération</w:t>
            </w:r>
          </w:p>
        </w:tc>
        <w:tc>
          <w:tcPr>
            <w:tcW w:type="dxa" w:w="30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Rédige une réponse claire, structurée en langue naturelle, avec les sources citées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F3D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Un expert disponible 24h/24 qui ne se trompe pas et montre ses sources</w:t>
            </w:r>
          </w:p>
        </w:tc>
      </w:tr>
    </w:tbl>
    <w:p>
      <w:pPr>
        <w:spacing w:after="60" w:before="16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B3F6E"/>
          <w:sz w:val="26"/>
          <w:szCs w:val="26"/>
        </w:rPr>
        <w:t xml:space="preserve">1.2  Comment fonctionne le RAG — Sous le capot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Quand vous posez une question au système RAG de TransferAI, voici exactement ce qui se passe en quelques secondes :</w:t>
      </w:r>
    </w:p>
    <w:p>
      <w:pPr>
        <w:spacing w:after="100" w:before="10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846"/>
      </w:tblGrid>
      <w:tr>
        <w:tc>
          <w:tcPr>
            <w:tcW w:type="dxa" w:w="900"/>
            <w:tcBorders>
              <w:top w:val="none" w:sz="0"/>
              <w:left w:val="none" w:sz="0"/>
              <w:bottom w:val="none" w:sz="0"/>
              <w:right w:val="none" w:sz="0"/>
            </w:tcBorders>
            <w:shd w:fill="1B3F6E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1</w:t>
            </w:r>
          </w:p>
        </w:tc>
        <w:tc>
          <w:tcPr>
            <w:tcW w:type="dxa" w:w="8126"/>
            <w:tcBorders>
              <w:top w:val="none" w:sz="0"/>
              <w:left w:val="none" w:sz="0"/>
              <w:bottom w:val="none" w:sz="0"/>
              <w:right w:val="none" w:sz="0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1B3F6E"/>
                <w:sz w:val="23"/>
                <w:szCs w:val="23"/>
              </w:rPr>
              <w:t xml:space="preserve">Votre question est reçue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Le webhook n8n capture votre question envoyée via Chatwoot ou l'interface web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>
            <w:pPr>
              <w:spacing w:after="8" w:before="8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none" w:sz="0"/>
              <w:left w:val="none" w:sz="0"/>
              <w:bottom w:val="none" w:sz="0"/>
              <w:right w:val="none" w:sz="0"/>
            </w:tcBorders>
            <w:shd w:fill="0D7D6B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2</w:t>
            </w:r>
          </w:p>
        </w:tc>
        <w:tc>
          <w:tcPr>
            <w:tcW w:type="dxa" w:w="8126"/>
            <w:tcBorders>
              <w:top w:val="none" w:sz="0"/>
              <w:left w:val="none" w:sz="0"/>
              <w:bottom w:val="none" w:sz="0"/>
              <w:right w:val="none" w:sz="0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1B3F6E"/>
                <w:sz w:val="23"/>
                <w:szCs w:val="23"/>
              </w:rPr>
              <w:t xml:space="preserve">Vectorisation de la question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OpenAI transforme votre question en vecteur mathématique de 1536 dimensions (text-embedding-3-small)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>
            <w:pPr>
              <w:spacing w:after="8" w:before="8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none" w:sz="0"/>
              <w:left w:val="none" w:sz="0"/>
              <w:bottom w:val="none" w:sz="0"/>
              <w:right w:val="none" w:sz="0"/>
            </w:tcBorders>
            <w:shd w:fill="E8A020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3</w:t>
            </w:r>
          </w:p>
        </w:tc>
        <w:tc>
          <w:tcPr>
            <w:tcW w:type="dxa" w:w="8126"/>
            <w:tcBorders>
              <w:top w:val="none" w:sz="0"/>
              <w:left w:val="none" w:sz="0"/>
              <w:bottom w:val="none" w:sz="0"/>
              <w:right w:val="none" w:sz="0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1B3F6E"/>
                <w:sz w:val="23"/>
                <w:szCs w:val="23"/>
              </w:rPr>
              <w:t xml:space="preserve">Recherche vectorielle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Supabase pgvector compare ce vecteur aux 5 000+ chunks indexés et retourne les 5 passages les plus similaires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>
            <w:pPr>
              <w:spacing w:after="8" w:before="8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none" w:sz="0"/>
              <w:left w:val="none" w:sz="0"/>
              <w:bottom w:val="none" w:sz="0"/>
              <w:right w:val="none" w:sz="0"/>
            </w:tcBorders>
            <w:shd w:fill="1B3F6E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4</w:t>
            </w:r>
          </w:p>
        </w:tc>
        <w:tc>
          <w:tcPr>
            <w:tcW w:type="dxa" w:w="8126"/>
            <w:tcBorders>
              <w:top w:val="none" w:sz="0"/>
              <w:left w:val="none" w:sz="0"/>
              <w:bottom w:val="none" w:sz="0"/>
              <w:right w:val="none" w:sz="0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1B3F6E"/>
                <w:sz w:val="23"/>
                <w:szCs w:val="23"/>
              </w:rPr>
              <w:t xml:space="preserve">Anonymisation des données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Les données sensibles (noms, emails, téléphones) sont remplacées par des tokens avant d'aller vers GPT-4o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>
            <w:pPr>
              <w:spacing w:after="8" w:before="8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none" w:sz="0"/>
              <w:left w:val="none" w:sz="0"/>
              <w:bottom w:val="none" w:sz="0"/>
              <w:right w:val="none" w:sz="0"/>
            </w:tcBorders>
            <w:shd w:fill="0D7D6B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5</w:t>
            </w:r>
          </w:p>
        </w:tc>
        <w:tc>
          <w:tcPr>
            <w:tcW w:type="dxa" w:w="8126"/>
            <w:tcBorders>
              <w:top w:val="none" w:sz="0"/>
              <w:left w:val="none" w:sz="0"/>
              <w:bottom w:val="none" w:sz="0"/>
              <w:right w:val="none" w:sz="0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1B3F6E"/>
                <w:sz w:val="23"/>
                <w:szCs w:val="23"/>
              </w:rPr>
              <w:t xml:space="preserve">Génération de la réponse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GPT-4o rédige une réponse structurée, basée uniquement sur les extraits fournis, avec les sources citées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>
            <w:pPr>
              <w:spacing w:after="8" w:before="8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none" w:sz="0"/>
              <w:left w:val="none" w:sz="0"/>
              <w:bottom w:val="none" w:sz="0"/>
              <w:right w:val="none" w:sz="0"/>
            </w:tcBorders>
            <w:shd w:fill="E8A020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</w:t>
            </w:r>
          </w:p>
        </w:tc>
        <w:tc>
          <w:tcPr>
            <w:tcW w:type="dxa" w:w="8126"/>
            <w:tcBorders>
              <w:top w:val="none" w:sz="0"/>
              <w:left w:val="none" w:sz="0"/>
              <w:bottom w:val="none" w:sz="0"/>
              <w:right w:val="none" w:sz="0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1B3F6E"/>
                <w:sz w:val="23"/>
                <w:szCs w:val="23"/>
              </w:rPr>
              <w:t xml:space="preserve">Désanonymisation &amp; livraison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Les tokens sont remplacés par les vraies données et la réponse est retournée en quelques secondes</w:t>
            </w:r>
          </w:p>
        </w:tc>
      </w:tr>
    </w:tbl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B3F6E"/>
          <w:sz w:val="26"/>
          <w:szCs w:val="26"/>
        </w:rPr>
        <w:t xml:space="preserve">1.3  Comprendre le Score de Similarité</w:t>
      </w:r>
    </w:p>
    <w:p>
      <w:pPr>
        <w:spacing w:after="160" w:before="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Chaque document (et chaque question posée) est transformé en une « empreinte numérique » (un embedding) qui capture le sens du texte, pas seulement ses mots exacts. Le score de similarité, affiché entre 0 et 100 %, mesure à quel point la question et un morceau de document ont un sens proche : 100 % = quasi identique, 0 % = aucun rapport.</w:t>
      </w:r>
    </w:p>
    <w:p>
      <w:pPr>
        <w:spacing w:after="160" w:before="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Le seuil de similarité (match_threshold côté technique) est un filtre appliqué avant même que GPT ne voie quoi que ce soit : seuls les morceaux dont le score dépasse ce seuil sont autorisés à remonter. En dessous, ils restent invisibles pour le système.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746"/>
        <w:gridCol w:w="3600"/>
      </w:tblGrid>
      <w:tr>
        <w:trPr>
          <w:tblHeader/>
        </w:trPr>
        <w:tc>
          <w:tcPr>
            <w:tcW w:type="dxa" w:w="14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Score</w:t>
            </w:r>
          </w:p>
        </w:tc>
        <w:tc>
          <w:tcPr>
            <w:tcW w:type="dxa" w:w="4746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Ce que ça veut dire</w:t>
            </w:r>
          </w:p>
        </w:tc>
        <w:tc>
          <w:tcPr>
            <w:tcW w:type="dxa" w:w="36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Réponse utilisable ?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90-100%</w:t>
            </w:r>
          </w:p>
        </w:tc>
        <w:tc>
          <w:tcPr>
            <w:tcW w:type="dxa" w:w="47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Quasi doublon du texte de la question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Oui, quasi certain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75-90%</w:t>
            </w:r>
          </w:p>
        </w:tc>
        <w:tc>
          <w:tcPr>
            <w:tcW w:type="dxa" w:w="47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Même sujet précis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Oui, généralement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60-75%</w:t>
            </w:r>
          </w:p>
        </w:tc>
        <w:tc>
          <w:tcPr>
            <w:tcW w:type="dxa" w:w="47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Sujet lié mais pas forcément la question exacte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Parfois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40-60%</w:t>
            </w:r>
          </w:p>
        </w:tc>
        <w:tc>
          <w:tcPr>
            <w:tcW w:type="dxa" w:w="47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Même thématique large, réponse improbable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Rarement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&lt; 40%</w:t>
            </w:r>
          </w:p>
        </w:tc>
        <w:tc>
          <w:tcPr>
            <w:tcW w:type="dxa" w:w="47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Bruit, pas de rapport réel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Non</w:t>
            </w:r>
          </w:p>
        </w:tc>
      </w:tr>
    </w:tbl>
    <w:p>
      <w:pPr>
        <w:spacing w:after="40" w:before="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/>
      </w:r>
    </w:p>
    <w:p>
      <w:pPr>
        <w:pBdr>
          <w:left w:val="single" w:color="1B3F6E" w:sz="18" w:space="8"/>
        </w:pBdr>
        <w:shd w:fill="D9E8F5" w:val="clear"/>
        <w:spacing w:after="200" w:before="120"/>
        <w:ind w:left="120"/>
      </w:pPr>
      <w:r>
        <w:rPr>
          <w:rFonts w:ascii="Arial" w:cs="Arial" w:eastAsia="Arial" w:hAnsi="Arial"/>
          <w:i/>
          <w:iCs/>
          <w:color w:val="1B3F6E"/>
          <w:sz w:val="20"/>
          <w:szCs w:val="20"/>
        </w:rPr>
        <w:t xml:space="preserve">À retenir pour la démo : un score affiché ne garantit pas une réponse utile. Le système reste honnête — si le contenu réel ne correspond pas assez à la question, l’IA répond « je n’ai pas trouvé cette information » plutôt que d’inventer, même quand une source apparaît dans la liste. Voir la partie 3.2 pour des exemples réels à chaque niveau de score.</w:t>
      </w:r>
    </w:p>
    <w:p>
      <w:pPr>
        <w:spacing w:after="80" w:before="200"/>
      </w:pPr>
      <w:r>
        <w:t xml:space="preserve"/>
      </w:r>
    </w:p>
    <w:p>
      <w:r>
        <w:br w:type="page"/>
      </w:r>
    </w:p>
    <w:p>
      <w:pPr>
        <w:pStyle w:val="Heading1"/>
        <w:spacing w:after="120" w:before="320"/>
      </w:pPr>
      <w:bookmarkStart w:name="part2" w:id="2"/>
      <w:r>
        <w:rPr>
          <w:rFonts w:ascii="Arial" w:cs="Arial" w:eastAsia="Arial" w:hAnsi="Arial"/>
          <w:b/>
          <w:bCs/>
          <w:color w:val="1B3F6E"/>
          <w:sz w:val="34"/>
          <w:szCs w:val="34"/>
        </w:rPr>
        <w:t xml:space="preserve">PARTIE 2 — L'Histoire TransferAI &amp; Sa Base de Connaissance</w:t>
      </w:r>
      <w:bookmarkEnd w:id="2"/>
    </w:p>
    <w:p>
      <w:pPr>
        <w:pBdr>
          <w:bottom w:val="single" w:color="0D7D6B" w:sz="10" w:space="1"/>
        </w:pBdr>
        <w:spacing w:after="60" w:before="6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B3F6E"/>
          <w:sz w:val="26"/>
          <w:szCs w:val="26"/>
        </w:rPr>
        <w:t xml:space="preserve">2.1  Le Défi de TransferAI Africa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TransferAI Africa accompagne des entreprises africaines dans leur transition vers l'intelligence artificielle. En 2026, l'équipe fait face à un défi commun à toutes les organisations en croissance rapide :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thick" w:color="E8A020" w:sz="12"/>
              <w:left w:val="thick" w:color="E8A020" w:sz="24"/>
              <w:bottom w:val="single" w:color="E8A020" w:sz="4"/>
              <w:right w:val="single" w:color="E8A020" w:sz="4"/>
            </w:tcBorders>
            <w:shd w:fill="FEF3DC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20"/>
            </w:pPr>
            <w:r>
              <w:rPr>
                <w:rFonts w:ascii="Arial" w:cs="Arial" w:eastAsia="Arial" w:hAnsi="Arial"/>
                <w:b/>
                <w:bCs/>
                <w:color w:val="1B3F6E"/>
                <w:sz w:val="21"/>
                <w:szCs w:val="21"/>
              </w:rPr>
              <w:t xml:space="preserve">Le problème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1"/>
                <w:szCs w:val="21"/>
              </w:rPr>
              <w:t xml:space="preserve">Des centaines de documents internes — procédures, guides, réglementations, decks sectoriels — dispersés sur des drives, impossible à retrouver rapidement. Quand un consultant devait répondre à un client sur la réglementation UEMOA ou les étapes d'un audit IA, il perdait 30 minutes à chercher le bon document.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1"/>
                <w:szCs w:val="21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1"/>
                <w:szCs w:val="21"/>
              </w:rPr>
              <w:t xml:space="preserve">Les consultants perdaient en moyenne 2h par jour à chercher des informations dans leurs propres documents.</w:t>
            </w:r>
          </w:p>
        </w:tc>
      </w:tr>
    </w:tbl>
    <w:p>
      <w:pPr>
        <w:spacing w:after="60" w:before="12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B3F6E"/>
          <w:sz w:val="26"/>
          <w:szCs w:val="26"/>
        </w:rPr>
        <w:t xml:space="preserve">2.2  La Solution : Une Base de Connaissance RAG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L'équipe TransferAI a décidé de construire son propre système RAG en utilisant les outils qu'elle maîtrise : n8n pour l'orchestration, Supabase pour le stockage vectoriel, et GPT-4o pour la génération.</w:t>
      </w:r>
    </w:p>
    <w:p>
      <w:pPr>
        <w:spacing w:after="80" w:before="8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7D6B"/>
          <w:sz w:val="23"/>
          <w:szCs w:val="23"/>
        </w:rPr>
        <w:t xml:space="preserve">La Base Documentaire — 856 fichiers organisés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Voici la structure de la base de connaissance TransferAI, construite lors de ce projet :</w:t>
      </w:r>
    </w:p>
    <w:p>
      <w:pPr>
        <w:spacing w:after="80" w:before="8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2246"/>
        <w:gridCol w:w="2000"/>
        <w:gridCol w:w="2000"/>
      </w:tblGrid>
      <w:tr>
        <w:trPr>
          <w:tblHeader/>
        </w:trPr>
        <w:tc>
          <w:tcPr>
            <w:tcW w:type="dxa" w:w="5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0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Catégorie</w:t>
            </w:r>
          </w:p>
        </w:tc>
        <w:tc>
          <w:tcPr>
            <w:tcW w:type="dxa" w:w="2246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Contenu</w:t>
            </w:r>
          </w:p>
        </w:tc>
        <w:tc>
          <w:tcPr>
            <w:tcW w:type="dxa" w:w="20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Fichiers</w:t>
            </w:r>
          </w:p>
        </w:tc>
        <w:tc>
          <w:tcPr>
            <w:tcW w:type="dxa" w:w="20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Utilité RAG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01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2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Procedures Internes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Business plans, roadmaps, admin</w:t>
            </w:r>
          </w:p>
        </w:tc>
        <w:tc>
          <w:tcPr>
            <w:tcW w:type="dxa" w:w="2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Plans stratégiques, guides admin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60 fichiers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Questions internes, processus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5F0E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02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20"/>
            </w:pPr>
            <w:r>
              <w:rPr>
                <w:rFonts w:ascii="Arial" w:cs="Arial" w:eastAsia="Arial" w:hAnsi="Arial"/>
                <w:b/>
                <w:bCs/>
                <w:color w:val="0D7D6B"/>
                <w:sz w:val="20"/>
                <w:szCs w:val="20"/>
              </w:rPr>
              <w:t xml:space="preserve">Reglementation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RGPD, veille UEMOA/BCEAO</w:t>
            </w:r>
          </w:p>
        </w:tc>
        <w:tc>
          <w:tcPr>
            <w:tcW w:type="dxa" w:w="2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Cadre légal, conformité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5F0E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6 fichiers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Conformité, audits réglementaires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03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2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Guides &amp; Formations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Catalogues, kits, mini-guides</w:t>
            </w:r>
          </w:p>
        </w:tc>
        <w:tc>
          <w:tcPr>
            <w:tcW w:type="dxa" w:w="2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Formation IA, méthodologies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162 fichiers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Questions formation, pédagogie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F3D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04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20"/>
            </w:pPr>
            <w:r>
              <w:rPr>
                <w:rFonts w:ascii="Arial" w:cs="Arial" w:eastAsia="Arial" w:hAnsi="Arial"/>
                <w:b/>
                <w:bCs/>
                <w:color w:val="E8A020"/>
                <w:sz w:val="20"/>
                <w:szCs w:val="20"/>
              </w:rPr>
              <w:t xml:space="preserve">Workflows Automatisation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Guides n8n, Supabase, Chatwoot</w:t>
            </w:r>
          </w:p>
        </w:tc>
        <w:tc>
          <w:tcPr>
            <w:tcW w:type="dxa" w:w="2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Documentation technique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F3D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76 fichiers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Support technique, débogage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5F0E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05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20"/>
            </w:pPr>
            <w:r>
              <w:rPr>
                <w:rFonts w:ascii="Arial" w:cs="Arial" w:eastAsia="Arial" w:hAnsi="Arial"/>
                <w:b/>
                <w:bCs/>
                <w:color w:val="0D7D6B"/>
                <w:sz w:val="20"/>
                <w:szCs w:val="20"/>
              </w:rPr>
              <w:t xml:space="preserve">Prospection &amp; CRM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Pipelines, OpenClaw, CRM</w:t>
            </w:r>
          </w:p>
        </w:tc>
        <w:tc>
          <w:tcPr>
            <w:tcW w:type="dxa" w:w="2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Outils commerciaux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5F0E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82 fichiers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Questions commerciales, clients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06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2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Decks Sectoriels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21 secteurs : Banque, Telecom, Santé...</w:t>
            </w:r>
          </w:p>
        </w:tc>
        <w:tc>
          <w:tcPr>
            <w:tcW w:type="dxa" w:w="2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Pitch decks, analyses secteur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97 fichiers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Questions secteur, use cases IA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F3D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07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20"/>
            </w:pPr>
            <w:r>
              <w:rPr>
                <w:rFonts w:ascii="Arial" w:cs="Arial" w:eastAsia="Arial" w:hAnsi="Arial"/>
                <w:b/>
                <w:bCs/>
                <w:color w:val="E8A020"/>
                <w:sz w:val="20"/>
                <w:szCs w:val="20"/>
              </w:rPr>
              <w:t xml:space="preserve">Knowledge Base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FAQ, KB complète, chatbot</w:t>
            </w:r>
          </w:p>
        </w:tc>
        <w:tc>
          <w:tcPr>
            <w:tcW w:type="dxa" w:w="2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Base de connaissance générale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F3D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14 fichiers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Questions générales TransferAI</w:t>
            </w:r>
          </w:p>
        </w:tc>
      </w:tr>
    </w:tbl>
    <w:p>
      <w:pPr>
        <w:spacing w:after="80" w:before="14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B3F6E"/>
          <w:sz w:val="26"/>
          <w:szCs w:val="26"/>
        </w:rPr>
        <w:t xml:space="preserve">2.3  La Transformation : Avant / Après</w:t>
      </w:r>
    </w:p>
    <w:p>
      <w:pPr>
        <w:spacing w:after="80" w:before="8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160"/>
        <w:gridCol w:w="4786"/>
      </w:tblGrid>
      <w:tr>
        <w:tc>
          <w:tcPr>
            <w:tcW w:type="dxa" w:w="4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C0392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AVANT le RAG</w:t>
            </w:r>
          </w:p>
        </w:tc>
        <w:tc>
          <w:tcPr>
            <w:tcW w:type="dxa" w:w="16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>
            <w:r>
              <w:t xml:space="preserve"/>
            </w:r>
          </w:p>
        </w:tc>
        <w:tc>
          <w:tcPr>
            <w:tcW w:type="dxa" w:w="4786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0D7D6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APRES le RAG</w:t>
            </w:r>
          </w:p>
        </w:tc>
      </w:tr>
      <w:tr>
        <w:tc>
          <w:tcPr>
            <w:tcW w:type="dxa" w:w="4800"/>
            <w:tcBorders>
              <w:top w:val="single" w:color="DDDDDD" w:sz="1"/>
              <w:left w:val="thick" w:color="C0392B" w:sz="12"/>
              <w:bottom w:val="single" w:color="DDDDDD" w:sz="1"/>
              <w:right w:val="none"/>
            </w:tcBorders>
            <w:shd w:fill="FEE8E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before="60"/>
            </w:pPr>
            <w:r>
              <w:rPr>
                <w:rFonts w:ascii="Arial" w:cs="Arial" w:eastAsia="Arial" w:hAnsi="Arial"/>
                <w:color w:val="880000"/>
                <w:sz w:val="20"/>
                <w:szCs w:val="20"/>
              </w:rPr>
              <w:t xml:space="preserve">Chercher dans des emails et drives disparates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before="60"/>
            </w:pPr>
            <w:r>
              <w:rPr>
                <w:rFonts w:ascii="Arial" w:cs="Arial" w:eastAsia="Arial" w:hAnsi="Arial"/>
                <w:color w:val="880000"/>
                <w:sz w:val="20"/>
                <w:szCs w:val="20"/>
              </w:rPr>
              <w:t xml:space="preserve">30 min perdues en moyenne par recherche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before="60"/>
            </w:pPr>
            <w:r>
              <w:rPr>
                <w:rFonts w:ascii="Arial" w:cs="Arial" w:eastAsia="Arial" w:hAnsi="Arial"/>
                <w:color w:val="880000"/>
                <w:sz w:val="20"/>
                <w:szCs w:val="20"/>
              </w:rPr>
              <w:t xml:space="preserve">Informations souvent obsolètes ou incomplètes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before="60"/>
            </w:pPr>
            <w:r>
              <w:rPr>
                <w:rFonts w:ascii="Arial" w:cs="Arial" w:eastAsia="Arial" w:hAnsi="Arial"/>
                <w:color w:val="880000"/>
                <w:sz w:val="20"/>
                <w:szCs w:val="20"/>
              </w:rPr>
              <w:t xml:space="preserve">Impossible de savoir d'où vient l'information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before="60"/>
            </w:pPr>
            <w:r>
              <w:rPr>
                <w:rFonts w:ascii="Arial" w:cs="Arial" w:eastAsia="Arial" w:hAnsi="Arial"/>
                <w:color w:val="880000"/>
                <w:sz w:val="20"/>
                <w:szCs w:val="20"/>
              </w:rPr>
              <w:t xml:space="preserve">Charge mentale élevée pour les consultants</w:t>
            </w:r>
          </w:p>
        </w:tc>
        <w:tc>
          <w:tcPr>
            <w:tcW w:type="dxa" w:w="16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>
            <w:r>
              <w:t xml:space="preserve"/>
            </w:r>
          </w:p>
        </w:tc>
        <w:tc>
          <w:tcPr>
            <w:tcW w:type="dxa" w:w="4786"/>
            <w:tcBorders>
              <w:top w:val="single" w:color="DDDDDD" w:sz="1"/>
              <w:left w:val="thick" w:color="0D7D6B" w:sz="12"/>
              <w:bottom w:val="single" w:color="DDDDDD" w:sz="1"/>
              <w:right w:val="none"/>
            </w:tcBorders>
            <w:shd w:fill="D5F0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60" w:before="60"/>
            </w:pPr>
            <w:r>
              <w:rPr>
                <w:rFonts w:ascii="Arial" w:cs="Arial" w:eastAsia="Arial" w:hAnsi="Arial"/>
                <w:color w:val="005544"/>
                <w:sz w:val="20"/>
                <w:szCs w:val="20"/>
              </w:rPr>
              <w:t xml:space="preserve">Une question en langage naturel, une réponse en 3 sec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before="60"/>
            </w:pPr>
            <w:r>
              <w:rPr>
                <w:rFonts w:ascii="Arial" w:cs="Arial" w:eastAsia="Arial" w:hAnsi="Arial"/>
                <w:color w:val="005544"/>
                <w:sz w:val="20"/>
                <w:szCs w:val="20"/>
              </w:rPr>
              <w:t xml:space="preserve">2h/jour récupérées par consultant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before="60"/>
            </w:pPr>
            <w:r>
              <w:rPr>
                <w:rFonts w:ascii="Arial" w:cs="Arial" w:eastAsia="Arial" w:hAnsi="Arial"/>
                <w:color w:val="005544"/>
                <w:sz w:val="20"/>
                <w:szCs w:val="20"/>
              </w:rPr>
              <w:t xml:space="preserve">Base synchronisée toutes les 6 heures automatiquement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before="60"/>
            </w:pPr>
            <w:r>
              <w:rPr>
                <w:rFonts w:ascii="Arial" w:cs="Arial" w:eastAsia="Arial" w:hAnsi="Arial"/>
                <w:color w:val="005544"/>
                <w:sz w:val="20"/>
                <w:szCs w:val="20"/>
              </w:rPr>
              <w:t xml:space="preserve">Sources citées avec liens vers les documents originaux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before="60"/>
            </w:pPr>
            <w:r>
              <w:rPr>
                <w:rFonts w:ascii="Arial" w:cs="Arial" w:eastAsia="Arial" w:hAnsi="Arial"/>
                <w:color w:val="005544"/>
                <w:sz w:val="20"/>
                <w:szCs w:val="20"/>
              </w:rPr>
              <w:t xml:space="preserve">Consultants focusés sur la valeur, pas la recherche</w:t>
            </w:r>
          </w:p>
        </w:tc>
      </w:tr>
    </w:tbl>
    <w:p>
      <w:pPr>
        <w:spacing w:after="80" w:before="200"/>
      </w:pPr>
      <w:r>
        <w:t xml:space="preserve"/>
      </w:r>
    </w:p>
    <w:p>
      <w:r>
        <w:br w:type="page"/>
      </w:r>
    </w:p>
    <w:p>
      <w:pPr>
        <w:pStyle w:val="Heading1"/>
        <w:spacing w:after="120" w:before="320"/>
      </w:pPr>
      <w:bookmarkStart w:name="part3" w:id="3"/>
      <w:r>
        <w:rPr>
          <w:rFonts w:ascii="Arial" w:cs="Arial" w:eastAsia="Arial" w:hAnsi="Arial"/>
          <w:b/>
          <w:bCs/>
          <w:color w:val="1B3F6E"/>
          <w:sz w:val="34"/>
          <w:szCs w:val="34"/>
        </w:rPr>
        <w:t xml:space="preserve">PARTIE 3 — Guide Utilisateur : Comment Poser les Bonnes Questions</w:t>
      </w:r>
      <w:bookmarkEnd w:id="3"/>
    </w:p>
    <w:p>
      <w:pPr>
        <w:pBdr>
          <w:bottom w:val="single" w:color="1B3F6E" w:sz="10" w:space="1"/>
        </w:pBdr>
        <w:spacing w:after="60" w:before="6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B3F6E"/>
          <w:sz w:val="26"/>
          <w:szCs w:val="26"/>
        </w:rPr>
        <w:t xml:space="preserve">3.1  Accéder au Système RAG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système RAG TransferAI est accessible via trois canaux (mis à jour le 08 juillet 2026 : ajout de l’interface web) :</w:t>
      </w:r>
    </w:p>
    <w:p>
      <w:pPr>
        <w:spacing w:after="60" w:before="8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946"/>
      </w:tblGrid>
      <w:tr>
        <w:trPr>
          <w:tblHeader/>
        </w:trPr>
        <w:tc>
          <w:tcPr>
            <w:tcW w:type="dxa" w:w="4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Canal d'accès</w:t>
            </w:r>
          </w:p>
        </w:tc>
        <w:tc>
          <w:tcPr>
            <w:tcW w:type="dxa" w:w="4946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Comment l'utiliser</w:t>
            </w:r>
          </w:p>
        </w:tc>
      </w:tr>
      <w:tr>
        <w:tc>
          <w:tcPr>
            <w:tcW w:type="dxa" w:w="4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B3F6E"/>
                <w:sz w:val="22"/>
                <w:szCs w:val="22"/>
              </w:rPr>
              <w:t xml:space="preserve">Chatwoot (Interface principale)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0D7D6B"/>
                <w:sz w:val="20"/>
                <w:szCs w:val="20"/>
              </w:rPr>
              <w:t xml:space="preserve">app.chatwoot.com — Compte 163278</w:t>
            </w:r>
          </w:p>
        </w:tc>
        <w:tc>
          <w:tcPr>
            <w:tcW w:type="dxa" w:w="49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Ouvrez une conversation, tapez votre question en français ou anglais, envoyez. La réponse arrive en 3-8 secondes avec les sources.</w:t>
            </w:r>
          </w:p>
        </w:tc>
      </w:tr>
      <w:tr>
        <w:tc>
          <w:tcPr>
            <w:tcW w:type="dxa" w:w="4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3F2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0D7D6B"/>
                <w:sz w:val="22"/>
                <w:szCs w:val="22"/>
              </w:rPr>
              <w:t xml:space="preserve">Interface Web (nouveau — 08/07/2026)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0D7D6B"/>
                <w:sz w:val="18"/>
                <w:szCs w:val="18"/>
              </w:rPr>
              <w:t xml:space="preserve">www.transferai.ci/demo/recherche-documentaire</w:t>
            </w:r>
          </w:p>
        </w:tc>
        <w:tc>
          <w:tcPr>
            <w:tcW w:type="dxa" w:w="49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Ouvrez la page dans un navigateur, tapez votre question, cliquez sur “Lancer la recherche”. Aucune compétence technique requise — le point d’entrée le plus simple pour un collègue qui ne connaît ni Chatwoot ni les API.</w:t>
            </w:r>
          </w:p>
        </w:tc>
      </w:tr>
      <w:tr>
        <w:tc>
          <w:tcPr>
            <w:tcW w:type="dxa" w:w="4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F3D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E8A020"/>
                <w:sz w:val="22"/>
                <w:szCs w:val="22"/>
              </w:rPr>
              <w:t xml:space="preserve">API Webhook (Intégration)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POST /webhook/recherche-documentaire (externe) ou /webhook/recherche-documentaire-interne (interne)</w:t>
            </w:r>
          </w:p>
        </w:tc>
        <w:tc>
          <w:tcPr>
            <w:tcW w:type="dxa" w:w="49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Pour les développeurs : envoyez une requête JSON avec question, utilisateur et session_id. Le endpoint “externe” (workflow Recherche_Documentaire_RAG_v4_complet) anonymise les données et escalade vers Chatwoot si aucune réponse fiable n’est trouvée ; le endpoint “interne” (workflow Recherche_Documentaire_RAG) est plus simple, réservé à l’équipe.</w:t>
            </w:r>
          </w:p>
        </w:tc>
      </w:tr>
    </w:tbl>
    <w:p>
      <w:pPr>
        <w:spacing w:after="80" w:before="16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B3F6E"/>
          <w:sz w:val="26"/>
          <w:szCs w:val="26"/>
        </w:rPr>
        <w:t xml:space="preserve">3.2  Exemples de Questions — Testées en direct contre la base réelle (09/07/2026)</w:t>
      </w:r>
    </w:p>
    <w:p>
      <w:pPr>
        <w:spacing w:after="160" w:before="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Les 10 questions ci-dessous ont été posées directement au RAG en production, avec les scores réellement mesurés (pas des suppositions). Elles sont volontairement réparties en trois groupes pour la démonstration du 18 juillet : 2 questions à score élevé (réponse fiable), 4 à score moyen (réponse parfois utile, parfois pas — à nuancer), 4 à score nul ou hors-sujet (le RAG répond honnêtement « je ne sais pas » plutôt que d’inventer).</w:t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4600"/>
        <w:gridCol w:w="4896"/>
      </w:tblGrid>
      <w:tr>
        <w:trPr>
          <w:tblHeader/>
        </w:trPr>
        <w:tc>
          <w:tcPr>
            <w:tcW w:type="dxa" w:w="85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Score</w:t>
            </w:r>
          </w:p>
        </w:tc>
        <w:tc>
          <w:tcPr>
            <w:tcW w:type="dxa" w:w="46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Question posée en démo</w:t>
            </w:r>
          </w:p>
        </w:tc>
        <w:tc>
          <w:tcPr>
            <w:tcW w:type="dxa" w:w="4896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Ce que ça illustre pour les participants</w:t>
            </w:r>
          </w:p>
        </w:tc>
      </w:tr>
      <w:tr>
        <w:tc>
          <w:tcPr>
            <w:tcW w:type="dxa" w:w="850"/>
            <w:tcBorders>
              <w:top w:val="single" w:color="FFFFFF" w:sz="1"/>
              <w:left w:val="none"/>
              <w:bottom w:val="single" w:color="FFFFFF" w:sz="1"/>
              <w:right w:val="none"/>
            </w:tcBorders>
            <w:shd w:fill="0D7D6B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77%</w:t>
            </w:r>
          </w:p>
        </w:tc>
        <w:tc>
          <w:tcPr>
            <w:tcW w:type="dxa" w:w="4600"/>
            <w:tcBorders>
              <w:top w:val="single" w:color="DDDDDD" w:sz="1"/>
              <w:left w:val="none"/>
              <w:bottom w:val="single" w:color="DDDDDD" w:sz="1"/>
              <w:right w:val="single" w:color="DDDDDD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i/>
                <w:iCs/>
                <w:color w:val="1B3F6E"/>
                <w:sz w:val="20"/>
                <w:szCs w:val="20"/>
              </w:rPr>
              <w:t xml:space="preserve">Que couvre le jour 2 de la formation sur la gestion documentaire et l’IA responsable ?</w:t>
            </w:r>
          </w:p>
        </w:tc>
        <w:tc>
          <w:tcPr>
            <w:tcW w:type="dxa" w:w="4896"/>
            <w:tcBorders>
              <w:top w:val="single" w:color="DDDDDD" w:sz="1"/>
              <w:left w:val="single" w:color="DDDDDD" w:sz="1"/>
              <w:bottom w:val="single" w:color="DDDDDD" w:sz="1"/>
              <w:right w:val="none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Score élevé → réponse fiable et détaillée, citant la bonne section du programme.</w:t>
            </w:r>
          </w:p>
        </w:tc>
      </w:tr>
      <w:tr>
        <w:tc>
          <w:tcPr>
            <w:tcW w:type="dxa" w:w="850"/>
            <w:tcBorders>
              <w:top w:val="single" w:color="FFFFFF" w:sz="1"/>
              <w:left w:val="none"/>
              <w:bottom w:val="single" w:color="FFFFFF" w:sz="1"/>
              <w:right w:val="none"/>
            </w:tcBorders>
            <w:shd w:fill="0D7D6B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78%</w:t>
            </w:r>
          </w:p>
        </w:tc>
        <w:tc>
          <w:tcPr>
            <w:tcW w:type="dxa" w:w="4600"/>
            <w:tcBorders>
              <w:top w:val="single" w:color="DDDDDD" w:sz="1"/>
              <w:left w:val="none"/>
              <w:bottom w:val="single" w:color="DDDDDD" w:sz="1"/>
              <w:right w:val="single" w:color="DDDDDD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i/>
                <w:iCs/>
                <w:color w:val="1B3F6E"/>
                <w:sz w:val="20"/>
                <w:szCs w:val="20"/>
              </w:rPr>
              <w:t xml:space="preserve">Quel cas d’usage IA existe pour le dossier de crédit KYC et la veille réglementaire BCEAO-UEMOA ?</w:t>
            </w:r>
          </w:p>
        </w:tc>
        <w:tc>
          <w:tcPr>
            <w:tcW w:type="dxa" w:w="4896"/>
            <w:tcBorders>
              <w:top w:val="single" w:color="DDDDDD" w:sz="1"/>
              <w:left w:val="single" w:color="DDDDDD" w:sz="1"/>
              <w:bottom w:val="single" w:color="DDDDDD" w:sz="1"/>
              <w:right w:val="none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Score élevé → réponse fiable et précise sur un cas d’usage sectoriel réel.</w:t>
            </w:r>
          </w:p>
        </w:tc>
      </w:tr>
      <w:tr>
        <w:tc>
          <w:tcPr>
            <w:tcW w:type="dxa" w:w="850"/>
            <w:tcBorders>
              <w:top w:val="single" w:color="FFFFFF" w:sz="1"/>
              <w:left w:val="none"/>
              <w:bottom w:val="single" w:color="FFFFFF" w:sz="1"/>
              <w:right w:val="none"/>
            </w:tcBorders>
            <w:shd w:fill="E8A020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51%</w:t>
            </w:r>
          </w:p>
        </w:tc>
        <w:tc>
          <w:tcPr>
            <w:tcW w:type="dxa" w:w="4600"/>
            <w:tcBorders>
              <w:top w:val="single" w:color="DDDDDD" w:sz="1"/>
              <w:left w:val="none"/>
              <w:bottom w:val="single" w:color="DDDDDD" w:sz="1"/>
              <w:right w:val="single" w:color="DDDDDD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i/>
                <w:iCs/>
                <w:color w:val="1B3F6E"/>
                <w:sz w:val="20"/>
                <w:szCs w:val="20"/>
              </w:rPr>
              <w:t xml:space="preserve">Comment fonctionne le cas d’usage de courrier automatique avec validation humaine ?</w:t>
            </w:r>
          </w:p>
        </w:tc>
        <w:tc>
          <w:tcPr>
            <w:tcW w:type="dxa" w:w="4896"/>
            <w:tcBorders>
              <w:top w:val="single" w:color="DDDDDD" w:sz="1"/>
              <w:left w:val="single" w:color="DDDDDD" w:sz="1"/>
              <w:bottom w:val="single" w:color="DDDDDD" w:sz="1"/>
              <w:right w:val="none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Score moyen → réponse encore exploitable, à nuancer devant les participants.</w:t>
            </w:r>
          </w:p>
        </w:tc>
      </w:tr>
      <w:tr>
        <w:tc>
          <w:tcPr>
            <w:tcW w:type="dxa" w:w="850"/>
            <w:tcBorders>
              <w:top w:val="single" w:color="FFFFFF" w:sz="1"/>
              <w:left w:val="none"/>
              <w:bottom w:val="single" w:color="FFFFFF" w:sz="1"/>
              <w:right w:val="none"/>
            </w:tcBorders>
            <w:shd w:fill="E8A020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45%</w:t>
            </w:r>
          </w:p>
        </w:tc>
        <w:tc>
          <w:tcPr>
            <w:tcW w:type="dxa" w:w="4600"/>
            <w:tcBorders>
              <w:top w:val="single" w:color="DDDDDD" w:sz="1"/>
              <w:left w:val="none"/>
              <w:bottom w:val="single" w:color="DDDDDD" w:sz="1"/>
              <w:right w:val="single" w:color="DDDDDD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i/>
                <w:iCs/>
                <w:color w:val="1B3F6E"/>
                <w:sz w:val="20"/>
                <w:szCs w:val="20"/>
              </w:rPr>
              <w:t xml:space="preserve">Quelle est l’approche pratique adaptée aux environnements sensibles ?</w:t>
            </w:r>
          </w:p>
        </w:tc>
        <w:tc>
          <w:tcPr>
            <w:tcW w:type="dxa" w:w="4896"/>
            <w:tcBorders>
              <w:top w:val="single" w:color="DDDDDD" w:sz="1"/>
              <w:left w:val="single" w:color="DDDDDD" w:sz="1"/>
              <w:bottom w:val="single" w:color="DDDDDD" w:sz="1"/>
              <w:right w:val="none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Score moyen → réponse partielle mais correcte.</w:t>
            </w:r>
          </w:p>
        </w:tc>
      </w:tr>
      <w:tr>
        <w:tc>
          <w:tcPr>
            <w:tcW w:type="dxa" w:w="850"/>
            <w:tcBorders>
              <w:top w:val="single" w:color="FFFFFF" w:sz="1"/>
              <w:left w:val="none"/>
              <w:bottom w:val="single" w:color="FFFFFF" w:sz="1"/>
              <w:right w:val="none"/>
            </w:tcBorders>
            <w:shd w:fill="E8A020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57%</w:t>
            </w:r>
          </w:p>
        </w:tc>
        <w:tc>
          <w:tcPr>
            <w:tcW w:type="dxa" w:w="4600"/>
            <w:tcBorders>
              <w:top w:val="single" w:color="DDDDDD" w:sz="1"/>
              <w:left w:val="none"/>
              <w:bottom w:val="single" w:color="DDDDDD" w:sz="1"/>
              <w:right w:val="single" w:color="DDDDDD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i/>
                <w:iCs/>
                <w:color w:val="1B3F6E"/>
                <w:sz w:val="20"/>
                <w:szCs w:val="20"/>
              </w:rPr>
              <w:t xml:space="preserve">Quels livrables individuels reçoivent les participants après la formation ?</w:t>
            </w:r>
          </w:p>
        </w:tc>
        <w:tc>
          <w:tcPr>
            <w:tcW w:type="dxa" w:w="4896"/>
            <w:tcBorders>
              <w:top w:val="single" w:color="DDDDDD" w:sz="1"/>
              <w:left w:val="single" w:color="DDDDDD" w:sz="1"/>
              <w:bottom w:val="single" w:color="DDDDDD" w:sz="1"/>
              <w:right w:val="none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Score moyen → bonne réponse malgré un score qui n’est pas très élevé — le score n’est qu’un indice, pas une garantie absolue.</w:t>
            </w:r>
          </w:p>
        </w:tc>
      </w:tr>
      <w:tr>
        <w:tc>
          <w:tcPr>
            <w:tcW w:type="dxa" w:w="850"/>
            <w:tcBorders>
              <w:top w:val="single" w:color="FFFFFF" w:sz="1"/>
              <w:left w:val="none"/>
              <w:bottom w:val="single" w:color="FFFFFF" w:sz="1"/>
              <w:right w:val="none"/>
            </w:tcBorders>
            <w:shd w:fill="E8A020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45%</w:t>
            </w:r>
          </w:p>
        </w:tc>
        <w:tc>
          <w:tcPr>
            <w:tcW w:type="dxa" w:w="4600"/>
            <w:tcBorders>
              <w:top w:val="single" w:color="DDDDDD" w:sz="1"/>
              <w:left w:val="none"/>
              <w:bottom w:val="single" w:color="DDDDDD" w:sz="1"/>
              <w:right w:val="single" w:color="DDDDDD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i/>
                <w:iCs/>
                <w:color w:val="1B3F6E"/>
                <w:sz w:val="20"/>
                <w:szCs w:val="20"/>
              </w:rPr>
              <w:t xml:space="preserve">Qui est le public concerné par le programme de formation IA ?</w:t>
            </w:r>
          </w:p>
        </w:tc>
        <w:tc>
          <w:tcPr>
            <w:tcW w:type="dxa" w:w="4896"/>
            <w:tcBorders>
              <w:top w:val="single" w:color="DDDDDD" w:sz="1"/>
              <w:left w:val="single" w:color="DDDDDD" w:sz="1"/>
              <w:bottom w:val="single" w:color="DDDDDD" w:sz="1"/>
              <w:right w:val="none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Score moyen → ici au contraire, le système répond « je n’ai pas trouvé » malgré une source existante — bon exemple pour expliquer la zone grise 40-60 %.</w:t>
            </w:r>
          </w:p>
        </w:tc>
      </w:tr>
      <w:tr>
        <w:tc>
          <w:tcPr>
            <w:tcW w:type="dxa" w:w="850"/>
            <w:tcBorders>
              <w:top w:val="single" w:color="FFFFFF" w:sz="1"/>
              <w:left w:val="none"/>
              <w:bottom w:val="single" w:color="FFFFFF" w:sz="1"/>
              <w:right w:val="none"/>
            </w:tcBorders>
            <w:shd w:fill="C0392B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0%</w:t>
            </w:r>
          </w:p>
        </w:tc>
        <w:tc>
          <w:tcPr>
            <w:tcW w:type="dxa" w:w="4600"/>
            <w:tcBorders>
              <w:top w:val="single" w:color="DDDDDD" w:sz="1"/>
              <w:left w:val="none"/>
              <w:bottom w:val="single" w:color="DDDDDD" w:sz="1"/>
              <w:right w:val="single" w:color="DDDDDD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i/>
                <w:iCs/>
                <w:color w:val="1B3F6E"/>
                <w:sz w:val="20"/>
                <w:szCs w:val="20"/>
              </w:rPr>
              <w:t xml:space="preserve">Quelle est l’offre commerciale globale de TransferAI ?</w:t>
            </w:r>
          </w:p>
        </w:tc>
        <w:tc>
          <w:tcPr>
            <w:tcW w:type="dxa" w:w="4896"/>
            <w:tcBorders>
              <w:top w:val="single" w:color="DDDDDD" w:sz="1"/>
              <w:left w:val="single" w:color="DDDDDD" w:sz="1"/>
              <w:bottom w:val="single" w:color="DDDDDD" w:sz="1"/>
              <w:right w:val="none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Aucune source → le RAG dit honnêtement « je ne sais pas » plutôt que d’inventer, malgré un document existant sur le sujet (limite de formulation, voir guide troubleshooting section 3.9).</w:t>
            </w:r>
          </w:p>
        </w:tc>
      </w:tr>
      <w:tr>
        <w:tc>
          <w:tcPr>
            <w:tcW w:type="dxa" w:w="850"/>
            <w:tcBorders>
              <w:top w:val="single" w:color="FFFFFF" w:sz="1"/>
              <w:left w:val="none"/>
              <w:bottom w:val="single" w:color="FFFFFF" w:sz="1"/>
              <w:right w:val="none"/>
            </w:tcBorders>
            <w:shd w:fill="C0392B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0%</w:t>
            </w:r>
          </w:p>
        </w:tc>
        <w:tc>
          <w:tcPr>
            <w:tcW w:type="dxa" w:w="4600"/>
            <w:tcBorders>
              <w:top w:val="single" w:color="DDDDDD" w:sz="1"/>
              <w:left w:val="none"/>
              <w:bottom w:val="single" w:color="DDDDDD" w:sz="1"/>
              <w:right w:val="single" w:color="DDDDDD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i/>
                <w:iCs/>
                <w:color w:val="1B3F6E"/>
                <w:sz w:val="20"/>
                <w:szCs w:val="20"/>
              </w:rPr>
              <w:t xml:space="preserve">Quels sont les différenciateurs de TransferAI par rapport aux autres organismes de formation ?</w:t>
            </w:r>
          </w:p>
        </w:tc>
        <w:tc>
          <w:tcPr>
            <w:tcW w:type="dxa" w:w="4896"/>
            <w:tcBorders>
              <w:top w:val="single" w:color="DDDDDD" w:sz="1"/>
              <w:left w:val="single" w:color="DDDDDD" w:sz="1"/>
              <w:bottom w:val="single" w:color="DDDDDD" w:sz="1"/>
              <w:right w:val="none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Aucune source → même leçon, sur un sujet pourtant documenté.</w:t>
            </w:r>
          </w:p>
        </w:tc>
      </w:tr>
      <w:tr>
        <w:tc>
          <w:tcPr>
            <w:tcW w:type="dxa" w:w="850"/>
            <w:tcBorders>
              <w:top w:val="single" w:color="FFFFFF" w:sz="1"/>
              <w:left w:val="none"/>
              <w:bottom w:val="single" w:color="FFFFFF" w:sz="1"/>
              <w:right w:val="none"/>
            </w:tcBorders>
            <w:shd w:fill="C0392B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0%</w:t>
            </w:r>
          </w:p>
        </w:tc>
        <w:tc>
          <w:tcPr>
            <w:tcW w:type="dxa" w:w="4600"/>
            <w:tcBorders>
              <w:top w:val="single" w:color="DDDDDD" w:sz="1"/>
              <w:left w:val="none"/>
              <w:bottom w:val="single" w:color="DDDDDD" w:sz="1"/>
              <w:right w:val="single" w:color="DDDDDD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i/>
                <w:iCs/>
                <w:color w:val="1B3F6E"/>
                <w:sz w:val="20"/>
                <w:szCs w:val="20"/>
              </w:rPr>
              <w:t xml:space="preserve">Quel cas d’usage IA concerne la recherche documentaire intelligente (RAG) ?</w:t>
            </w:r>
          </w:p>
        </w:tc>
        <w:tc>
          <w:tcPr>
            <w:tcW w:type="dxa" w:w="4896"/>
            <w:tcBorders>
              <w:top w:val="single" w:color="DDDDDD" w:sz="1"/>
              <w:left w:val="single" w:color="DDDDDD" w:sz="1"/>
              <w:bottom w:val="single" w:color="DDDDDD" w:sz="1"/>
              <w:right w:val="none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Aucune source → même si le document existe mot pour mot, illustre la limite de correspondance vocabulaire/question.</w:t>
            </w:r>
          </w:p>
        </w:tc>
      </w:tr>
      <w:tr>
        <w:tc>
          <w:tcPr>
            <w:tcW w:type="dxa" w:w="850"/>
            <w:tcBorders>
              <w:top w:val="single" w:color="FFFFFF" w:sz="1"/>
              <w:left w:val="none"/>
              <w:bottom w:val="single" w:color="FFFFFF" w:sz="1"/>
              <w:right w:val="none"/>
            </w:tcBorders>
            <w:shd w:fill="C0392B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0%</w:t>
            </w:r>
          </w:p>
        </w:tc>
        <w:tc>
          <w:tcPr>
            <w:tcW w:type="dxa" w:w="4600"/>
            <w:tcBorders>
              <w:top w:val="single" w:color="DDDDDD" w:sz="1"/>
              <w:left w:val="none"/>
              <w:bottom w:val="single" w:color="DDDDDD" w:sz="1"/>
              <w:right w:val="single" w:color="DDDDDD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i/>
                <w:iCs/>
                <w:color w:val="1B3F6E"/>
                <w:sz w:val="20"/>
                <w:szCs w:val="20"/>
              </w:rPr>
              <w:t xml:space="preserve">Quelle est la météo à Abidjan demain ?</w:t>
            </w:r>
          </w:p>
        </w:tc>
        <w:tc>
          <w:tcPr>
            <w:tcW w:type="dxa" w:w="4896"/>
            <w:tcBorders>
              <w:top w:val="single" w:color="DDDDDD" w:sz="1"/>
              <w:left w:val="single" w:color="DDDDDD" w:sz="1"/>
              <w:bottom w:val="single" w:color="DDDDDD" w:sz="1"/>
              <w:right w:val="none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Hors-sujet total → montre que le RAG ne dérive pas et ne hallucine jamais, même sur une question absurde.</w:t>
            </w:r>
          </w:p>
        </w:tc>
      </w:tr>
    </w:tbl>
    <w:p>
      <w:pPr>
        <w:spacing w:after="40" w:before="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/>
      </w:r>
    </w:p>
    <w:p>
      <w:pPr>
        <w:pBdr>
          <w:left w:val="single" w:color="1B3F6E" w:sz="18" w:space="8"/>
        </w:pBdr>
        <w:shd w:fill="D9E8F5" w:val="clear"/>
        <w:spacing w:after="200" w:before="120"/>
        <w:ind w:left="120"/>
      </w:pPr>
      <w:r>
        <w:rPr>
          <w:rFonts w:ascii="Arial" w:cs="Arial" w:eastAsia="Arial" w:hAnsi="Arial"/>
          <w:i/>
          <w:iCs/>
          <w:color w:val="1B3F6E"/>
          <w:sz w:val="20"/>
          <w:szCs w:val="20"/>
        </w:rPr>
        <w:t xml:space="preserve">Comment présenter ça aux participants : questions 1-2 pour montrer « voici une bonne réponse sourcée avec un score élevé » ; questions 3-6 pour montrer « un score moyen donne parfois une réponse utile, parfois pas — il faut rester critique » ; questions 7-10 pour montrer « le système préfère dire je ne sais pas plutôt qu’inventer » — c’est en général le message le plus rassurant à faire passer sur la fiabilité et la sécurité du RAG.</w:t>
      </w:r>
    </w:p>
    <w:p>
      <w:pPr>
        <w:pBdr>
          <w:left w:val="single" w:color="E8A020" w:sz="18" w:space="8"/>
        </w:pBdr>
        <w:shd w:fill="FEF3DC" w:val="clear"/>
        <w:spacing w:after="200" w:before="120"/>
        <w:ind w:left="120"/>
      </w:pPr>
      <w:r>
        <w:rPr>
          <w:rFonts w:ascii="Arial" w:cs="Arial" w:eastAsia="Arial" w:hAnsi="Arial"/>
          <w:i/>
          <w:iCs/>
          <w:color w:val="1B3F6E"/>
          <w:sz w:val="20"/>
          <w:szCs w:val="20"/>
        </w:rPr>
        <w:t xml:space="preserve">Recommandation avant le 18 juillet : refaire un test à blanc de ces 10 questions la veille de la formation. Les scores peuvent légèrement varier si de nouveaux documents sont ingérés entre-temps (cycle d’ingestion automatique toutes les 6h). Voir aussi la grille de lecture des scores en partie 1.3 pour expliquer aux participants comment interpréter chaque pourcentage affiché.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B3F6E"/>
          <w:sz w:val="26"/>
          <w:szCs w:val="26"/>
        </w:rPr>
        <w:t xml:space="preserve">3.3  Bonnes Pratiques — Formuler une Bonne Question</w:t>
      </w:r>
    </w:p>
    <w:p>
      <w:pPr>
        <w:spacing w:after="80" w:before="8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"/>
        <w:gridCol w:w="5042"/>
      </w:tblGrid>
      <w:tr>
        <w:trPr>
          <w:tblHeader/>
        </w:trPr>
        <w:tc>
          <w:tcPr>
            <w:tcW w:type="dxa" w:w="47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C0392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Questions peu efficaces</w:t>
            </w:r>
          </w:p>
        </w:tc>
        <w:tc>
          <w:tcPr>
            <w:tcW w:type="dxa" w:w="4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5042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0D7D6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Questions très efficaces</w:t>
            </w:r>
          </w:p>
        </w:tc>
      </w:tr>
      <w:tr>
        <w:tc>
          <w:tcPr>
            <w:tcW w:type="dxa" w:w="4700"/>
            <w:tcBorders>
              <w:top w:val="single" w:color="FFCCCC" w:sz="1"/>
              <w:left w:val="single" w:color="FFCCCC" w:sz="1"/>
              <w:bottom w:val="single" w:color="FFCCCC" w:sz="1"/>
              <w:right w:val="none"/>
            </w:tcBorders>
            <w:shd w:fill="FEE8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C0392B"/>
                <w:sz w:val="20"/>
                <w:szCs w:val="20"/>
              </w:rPr>
              <w:t xml:space="preserve">✗  Parle-moi de la banque</w:t>
            </w:r>
          </w:p>
        </w:tc>
        <w:tc>
          <w:tcPr>
            <w:tcW w:type="dxa" w:w="4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>
            <w:r>
              <w:t xml:space="preserve"/>
            </w:r>
          </w:p>
        </w:tc>
        <w:tc>
          <w:tcPr>
            <w:tcW w:type="dxa" w:w="5042"/>
            <w:tcBorders>
              <w:top w:val="single" w:color="AADDCC" w:sz="1"/>
              <w:left w:val="none"/>
              <w:bottom w:val="single" w:color="AADDCC" w:sz="1"/>
              <w:right w:val="single" w:color="AADDCC" w:sz="1"/>
            </w:tcBorders>
            <w:shd w:fill="D5F0E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0D7D6B"/>
                <w:sz w:val="20"/>
                <w:szCs w:val="20"/>
              </w:rPr>
              <w:t xml:space="preserve">✓  Quels sont les 3 principaux cas d'usage IA dans les banques africaines selon nos decks ?</w:t>
            </w:r>
          </w:p>
        </w:tc>
      </w:tr>
      <w:tr>
        <w:tc>
          <w:tcPr>
            <w:tcW w:type="dxa" w:w="4700"/>
            <w:tcBorders>
              <w:top w:val="single" w:color="FFCCCC" w:sz="1"/>
              <w:left w:val="single" w:color="FFCCCC" w:sz="1"/>
              <w:bottom w:val="single" w:color="FFCCCC" w:sz="1"/>
              <w:right w:val="none"/>
            </w:tcBorders>
            <w:shd w:fill="FEE8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C0392B"/>
                <w:sz w:val="20"/>
                <w:szCs w:val="20"/>
              </w:rPr>
              <w:t xml:space="preserve">✗  Réglementation</w:t>
            </w:r>
          </w:p>
        </w:tc>
        <w:tc>
          <w:tcPr>
            <w:tcW w:type="dxa" w:w="4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>
            <w:r>
              <w:t xml:space="preserve"/>
            </w:r>
          </w:p>
        </w:tc>
        <w:tc>
          <w:tcPr>
            <w:tcW w:type="dxa" w:w="5042"/>
            <w:tcBorders>
              <w:top w:val="single" w:color="AADDCC" w:sz="1"/>
              <w:left w:val="none"/>
              <w:bottom w:val="single" w:color="AADDCC" w:sz="1"/>
              <w:right w:val="single" w:color="AADDCC" w:sz="1"/>
            </w:tcBorders>
            <w:shd w:fill="D5F0E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0D7D6B"/>
                <w:sz w:val="20"/>
                <w:szCs w:val="20"/>
              </w:rPr>
              <w:t xml:space="preserve">✓  Quelles sont les obligations légales pour une fintech en Côte d'Ivoire en 2026 ?</w:t>
            </w:r>
          </w:p>
        </w:tc>
      </w:tr>
      <w:tr>
        <w:tc>
          <w:tcPr>
            <w:tcW w:type="dxa" w:w="4700"/>
            <w:tcBorders>
              <w:top w:val="single" w:color="FFCCCC" w:sz="1"/>
              <w:left w:val="single" w:color="FFCCCC" w:sz="1"/>
              <w:bottom w:val="single" w:color="FFCCCC" w:sz="1"/>
              <w:right w:val="none"/>
            </w:tcBorders>
            <w:shd w:fill="FEE8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C0392B"/>
                <w:sz w:val="20"/>
                <w:szCs w:val="20"/>
              </w:rPr>
              <w:t xml:space="preserve">✗  Comment on fait l'audit ?</w:t>
            </w:r>
          </w:p>
        </w:tc>
        <w:tc>
          <w:tcPr>
            <w:tcW w:type="dxa" w:w="4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>
            <w:r>
              <w:t xml:space="preserve"/>
            </w:r>
          </w:p>
        </w:tc>
        <w:tc>
          <w:tcPr>
            <w:tcW w:type="dxa" w:w="5042"/>
            <w:tcBorders>
              <w:top w:val="single" w:color="AADDCC" w:sz="1"/>
              <w:left w:val="none"/>
              <w:bottom w:val="single" w:color="AADDCC" w:sz="1"/>
              <w:right w:val="single" w:color="AADDCC" w:sz="1"/>
            </w:tcBorders>
            <w:shd w:fill="D5F0E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0D7D6B"/>
                <w:sz w:val="20"/>
                <w:szCs w:val="20"/>
              </w:rPr>
              <w:t xml:space="preserve">✓  Quelles sont les étapes de l'audit IA de TransferAI pour un client industrie manufacturière ?</w:t>
            </w:r>
          </w:p>
        </w:tc>
      </w:tr>
      <w:tr>
        <w:tc>
          <w:tcPr>
            <w:tcW w:type="dxa" w:w="4700"/>
            <w:tcBorders>
              <w:top w:val="single" w:color="FFCCCC" w:sz="1"/>
              <w:left w:val="single" w:color="FFCCCC" w:sz="1"/>
              <w:bottom w:val="single" w:color="FFCCCC" w:sz="1"/>
              <w:right w:val="none"/>
            </w:tcBorders>
            <w:shd w:fill="FEE8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C0392B"/>
                <w:sz w:val="20"/>
                <w:szCs w:val="20"/>
              </w:rPr>
              <w:t xml:space="preserve">✗  Donne-moi des infos</w:t>
            </w:r>
          </w:p>
        </w:tc>
        <w:tc>
          <w:tcPr>
            <w:tcW w:type="dxa" w:w="4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>
            <w:r>
              <w:t xml:space="preserve"/>
            </w:r>
          </w:p>
        </w:tc>
        <w:tc>
          <w:tcPr>
            <w:tcW w:type="dxa" w:w="5042"/>
            <w:tcBorders>
              <w:top w:val="single" w:color="AADDCC" w:sz="1"/>
              <w:left w:val="none"/>
              <w:bottom w:val="single" w:color="AADDCC" w:sz="1"/>
              <w:right w:val="single" w:color="AADDCC" w:sz="1"/>
            </w:tcBorders>
            <w:shd w:fill="D5F0E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0D7D6B"/>
                <w:sz w:val="20"/>
                <w:szCs w:val="20"/>
              </w:rPr>
              <w:t xml:space="preserve">✓  Quel est le modèle de tarification de TransferAI pour les entreprises de plus de 500 employés ?</w:t>
            </w:r>
          </w:p>
        </w:tc>
      </w:tr>
    </w:tbl>
    <w:p>
      <w:pPr>
        <w:spacing w:after="80" w:before="200"/>
      </w:pPr>
      <w:r>
        <w:t xml:space="preserve"/>
      </w:r>
    </w:p>
    <w:p>
      <w:r>
        <w:br w:type="page"/>
      </w:r>
    </w:p>
    <w:p>
      <w:pPr>
        <w:pStyle w:val="Heading1"/>
        <w:spacing w:after="120" w:before="320"/>
      </w:pPr>
      <w:bookmarkStart w:name="part4" w:id="4"/>
      <w:r>
        <w:rPr>
          <w:rFonts w:ascii="Arial" w:cs="Arial" w:eastAsia="Arial" w:hAnsi="Arial"/>
          <w:b/>
          <w:bCs/>
          <w:color w:val="1B3F6E"/>
          <w:sz w:val="34"/>
          <w:szCs w:val="34"/>
        </w:rPr>
        <w:t xml:space="preserve">PARTIE 4 — Guide de Dépannage</w:t>
      </w:r>
      <w:bookmarkEnd w:id="4"/>
    </w:p>
    <w:p>
      <w:pPr>
        <w:pBdr>
          <w:bottom w:val="single" w:color="C0392B" w:sz="10" w:space="1"/>
        </w:pBdr>
        <w:spacing w:after="60" w:before="60"/>
      </w:pPr>
      <w: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Ce guide couvre les problèmes les plus fréquents. Pour chaque problème, nous indiquons la sévérité, la cause probable et les actions correctives.</w:t>
      </w:r>
    </w:p>
    <w:p>
      <w:pPr>
        <w:spacing w:after="80" w:before="8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2"/>
        <w:gridCol w:w="3082"/>
        <w:gridCol w:w="3582"/>
      </w:tblGrid>
      <w:tr>
        <w:tc>
          <w:tcPr>
            <w:tcW w:type="dxa" w:w="3082"/>
            <w:tcBorders>
              <w:top w:val="single" w:color="AADDCC" w:sz="1"/>
              <w:left w:val="single" w:color="AADDCC" w:sz="1"/>
              <w:bottom w:val="single" w:color="AADDCC" w:sz="1"/>
              <w:right w:val="single" w:color="AADDCC" w:sz="1"/>
            </w:tcBorders>
            <w:shd w:fill="D5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D7D6B"/>
                <w:sz w:val="19"/>
                <w:szCs w:val="19"/>
              </w:rPr>
              <w:t xml:space="preserve">🟢  FAIBLE — Gêne mineure, solution rapide</w:t>
            </w:r>
          </w:p>
        </w:tc>
        <w:tc>
          <w:tcPr>
            <w:tcW w:type="dxa" w:w="3082"/>
            <w:tcBorders>
              <w:top w:val="single" w:color="FFDDAA" w:sz="1"/>
              <w:left w:val="single" w:color="FFDDAA" w:sz="1"/>
              <w:bottom w:val="single" w:color="FFDDAA" w:sz="1"/>
              <w:right w:val="single" w:color="FFDDAA" w:sz="1"/>
            </w:tcBorders>
            <w:shd w:fill="FEF3D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8A020"/>
                <w:sz w:val="19"/>
                <w:szCs w:val="19"/>
              </w:rPr>
              <w:t xml:space="preserve">🟡  MOYEN — Impact partiel sur l'usage</w:t>
            </w:r>
          </w:p>
        </w:tc>
        <w:tc>
          <w:tcPr>
            <w:tcW w:type="dxa" w:w="3582"/>
            <w:tcBorders>
              <w:top w:val="single" w:color="FFAAAA" w:sz="1"/>
              <w:left w:val="single" w:color="FFAAAA" w:sz="1"/>
              <w:bottom w:val="single" w:color="FFAAAA" w:sz="1"/>
              <w:right w:val="single" w:color="FFAAAA" w:sz="1"/>
            </w:tcBorders>
            <w:shd w:fill="FEE8E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0392B"/>
                <w:sz w:val="19"/>
                <w:szCs w:val="19"/>
              </w:rPr>
              <w:t xml:space="preserve">🔴  ELEVÉ — Système partiellement ou totalement arrêté</w:t>
            </w:r>
          </w:p>
        </w:tc>
      </w:tr>
    </w:tbl>
    <w:p>
      <w:pPr>
        <w:spacing w:after="60" w:before="14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thick" w:color="0D7D6B" w:sz="12"/>
              <w:left w:val="thick" w:color="0D7D6B" w:sz="24"/>
              <w:bottom w:val="single" w:color="0D7D6B" w:sz="4"/>
              <w:right w:val="single" w:color="0D7D6B" w:sz="4"/>
            </w:tcBorders>
            <w:shd w:fill="D5F0EC" w:val="clear"/>
            <w:tcMar>
              <w:top w:type="dxa" w:w="120"/>
              <w:left w:type="dxa" w:w="200"/>
              <w:bottom w:type="dxa" w:w="6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0D7D6B"/>
                <w:sz w:val="24"/>
                <w:szCs w:val="24"/>
              </w:rPr>
              <w:t xml:space="preserve">P1  </w:t>
            </w: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🟢  FAIBLE  </w:t>
            </w:r>
            <w:r>
              <w:rPr>
                <w:rFonts w:ascii="Arial" w:cs="Arial" w:eastAsia="Arial" w:hAnsi="Arial"/>
                <w:b/>
                <w:bCs/>
                <w:color w:val="1B3F6E"/>
                <w:sz w:val="24"/>
                <w:szCs w:val="24"/>
              </w:rPr>
              <w:t xml:space="preserve">  Les réponses sont vagues ou trop génériques</w:t>
            </w:r>
          </w:p>
        </w:tc>
      </w:tr>
      <w:tr>
        <w:tc>
          <w:tcPr>
            <w:tcW w:type="dxa" w:w="9746"/>
            <w:tcBorders>
              <w:top w:val="none"/>
              <w:left w:val="thick" w:color="0D7D6B" w:sz="24"/>
              <w:bottom w:val="none"/>
              <w:right w:val="single" w:color="DDDDDD" w:sz="4"/>
            </w:tcBorders>
            <w:shd w:fill="F4F4F4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Symptômes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La réponse est correcte mais manque de détails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L'IA répond de façon générale sans citer de source TransferAI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La réponse ressemble à une réponse ChatGPT standard</w:t>
            </w:r>
          </w:p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Causes probables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La question est trop vague (voir § 3.3)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Le document contenant la réponse n'est pas encore indexé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Le chunk pertinent est trop dilué dans la base</w:t>
            </w:r>
          </w:p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0D7D6B"/>
                <w:sz w:val="20"/>
                <w:szCs w:val="20"/>
              </w:rPr>
              <w:t xml:space="preserve">Actions correctives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Reformulez avec des mots-clés précis issus des titres de vos documents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Ajoutez le contexte : secteur, client, date, document spécifique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Vérifiez que le document est bien dans le Drive (dossiers 01 à 07)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Si le doc est nouveau : attendez le prochain cycle d'ingestion (toutes les 6h) ou forcez manuellement</w:t>
            </w:r>
          </w:p>
        </w:tc>
      </w:tr>
    </w:tbl>
    <w:p>
      <w:pPr>
        <w:spacing w:after="40" w:before="8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thick" w:color="0D7D6B" w:sz="12"/>
              <w:left w:val="thick" w:color="0D7D6B" w:sz="24"/>
              <w:bottom w:val="single" w:color="0D7D6B" w:sz="4"/>
              <w:right w:val="single" w:color="0D7D6B" w:sz="4"/>
            </w:tcBorders>
            <w:shd w:fill="D5F0EC" w:val="clear"/>
            <w:tcMar>
              <w:top w:type="dxa" w:w="120"/>
              <w:left w:type="dxa" w:w="200"/>
              <w:bottom w:type="dxa" w:w="6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0D7D6B"/>
                <w:sz w:val="24"/>
                <w:szCs w:val="24"/>
              </w:rPr>
              <w:t xml:space="preserve">P2  </w:t>
            </w: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🟢  FAIBLE  </w:t>
            </w:r>
            <w:r>
              <w:rPr>
                <w:rFonts w:ascii="Arial" w:cs="Arial" w:eastAsia="Arial" w:hAnsi="Arial"/>
                <w:b/>
                <w:bCs/>
                <w:color w:val="1B3F6E"/>
                <w:sz w:val="24"/>
                <w:szCs w:val="24"/>
              </w:rPr>
              <w:t xml:space="preserve">  La réponse prend plus de 15 secondes</w:t>
            </w:r>
          </w:p>
        </w:tc>
      </w:tr>
      <w:tr>
        <w:tc>
          <w:tcPr>
            <w:tcW w:type="dxa" w:w="9746"/>
            <w:tcBorders>
              <w:top w:val="none"/>
              <w:left w:val="thick" w:color="0D7D6B" w:sz="24"/>
              <w:bottom w:val="none"/>
              <w:right w:val="single" w:color="DDDDDD" w:sz="4"/>
            </w:tcBorders>
            <w:shd w:fill="F4F4F4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Symptômes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Attente anormalement longue avant la réponse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Timeout côté Chatwoot</w:t>
            </w:r>
          </w:p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Causes probables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Surcharge momentanée de l'API OpenAI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Latence réseau entre le serveur n8n et Supabase</w:t>
            </w:r>
          </w:p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0D7D6B"/>
                <w:sz w:val="20"/>
                <w:szCs w:val="20"/>
              </w:rPr>
              <w:t xml:space="preserve">Actions correctives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Réessayez la même question — la plupart du temps ça passe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Si le problème persiste &gt; 3 essais : vérifiez le statut OpenAI sur status.openai.com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Vérifiez que le workflow RAG est bien en mode Published dans n8n</w:t>
            </w:r>
          </w:p>
        </w:tc>
      </w:tr>
    </w:tbl>
    <w:p>
      <w:pPr>
        <w:spacing w:after="40" w:before="8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thick" w:color="E8A020" w:sz="12"/>
              <w:left w:val="thick" w:color="E8A020" w:sz="24"/>
              <w:bottom w:val="single" w:color="E8A020" w:sz="4"/>
              <w:right w:val="single" w:color="E8A020" w:sz="4"/>
            </w:tcBorders>
            <w:shd w:fill="FEF3DC" w:val="clear"/>
            <w:tcMar>
              <w:top w:type="dxa" w:w="120"/>
              <w:left w:type="dxa" w:w="200"/>
              <w:bottom w:type="dxa" w:w="6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E8A020"/>
                <w:sz w:val="24"/>
                <w:szCs w:val="24"/>
              </w:rPr>
              <w:t xml:space="preserve">P3  </w:t>
            </w: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🟡  MOYEN  </w:t>
            </w:r>
            <w:r>
              <w:rPr>
                <w:rFonts w:ascii="Arial" w:cs="Arial" w:eastAsia="Arial" w:hAnsi="Arial"/>
                <w:b/>
                <w:bCs/>
                <w:color w:val="1B3F6E"/>
                <w:sz w:val="24"/>
                <w:szCs w:val="24"/>
              </w:rPr>
              <w:t xml:space="preserve">  Aucune source n'est citée dans la réponse</w:t>
            </w:r>
          </w:p>
        </w:tc>
      </w:tr>
      <w:tr>
        <w:tc>
          <w:tcPr>
            <w:tcW w:type="dxa" w:w="9746"/>
            <w:tcBorders>
              <w:top w:val="none"/>
              <w:left w:val="thick" w:color="E8A020" w:sz="24"/>
              <w:bottom w:val="none"/>
              <w:right w:val="single" w:color="DDDDDD" w:sz="4"/>
            </w:tcBorders>
            <w:shd w:fill="F4F4F4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Symptômes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La réponse ne mentionne aucun document source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Absence de références dans la section 'Sources utilisées'</w:t>
            </w:r>
          </w:p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Causes probables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La base de données documents est vide ou trop récente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La similarité vectorielle est inférieure au seuil (0.2 est la valeur validée en production depuis juillet 2026 sur les 3 workflows RAG ; un seuil comme 0.7 est presque toujours trop strict et exclut des documents pertinents)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Le node 'Recherche Supabase Vector' a échoué silencieusement</w:t>
            </w:r>
          </w:p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E8A020"/>
                <w:sz w:val="20"/>
                <w:szCs w:val="20"/>
              </w:rPr>
              <w:t xml:space="preserve">Actions correctives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Vérifiez le compte Supabase : table 'documents' doit avoir &gt; 0 lignes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Réduisez le seuil de similarité à 0.2 (valeur validée en production) dans le node Recherche Supabase Vector — champ match_threshold du corps JSON envoyé à match_documents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Relancez manuellement le workflow d'ingestion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Testez avec une question très précise reprenant un titre exact de document</w:t>
            </w:r>
          </w:p>
        </w:tc>
      </w:tr>
    </w:tbl>
    <w:p>
      <w:pPr>
        <w:spacing w:after="40" w:before="8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thick" w:color="E8A020" w:sz="12"/>
              <w:left w:val="thick" w:color="E8A020" w:sz="24"/>
              <w:bottom w:val="single" w:color="E8A020" w:sz="4"/>
              <w:right w:val="single" w:color="E8A020" w:sz="4"/>
            </w:tcBorders>
            <w:shd w:fill="FEF3DC" w:val="clear"/>
            <w:tcMar>
              <w:top w:type="dxa" w:w="120"/>
              <w:left w:type="dxa" w:w="200"/>
              <w:bottom w:type="dxa" w:w="6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E8A020"/>
                <w:sz w:val="24"/>
                <w:szCs w:val="24"/>
              </w:rPr>
              <w:t xml:space="preserve">P4  </w:t>
            </w: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🟡  MOYEN  </w:t>
            </w:r>
            <w:r>
              <w:rPr>
                <w:rFonts w:ascii="Arial" w:cs="Arial" w:eastAsia="Arial" w:hAnsi="Arial"/>
                <w:b/>
                <w:bCs/>
                <w:color w:val="1B3F6E"/>
                <w:sz w:val="24"/>
                <w:szCs w:val="24"/>
              </w:rPr>
              <w:t xml:space="preserve">  Erreur 'Authorization failed — Expected 3 parts in JWT'</w:t>
            </w:r>
          </w:p>
        </w:tc>
      </w:tr>
      <w:tr>
        <w:tc>
          <w:tcPr>
            <w:tcW w:type="dxa" w:w="9746"/>
            <w:tcBorders>
              <w:top w:val="none"/>
              <w:left w:val="thick" w:color="E8A020" w:sz="24"/>
              <w:bottom w:val="none"/>
              <w:right w:val="single" w:color="DDDDDD" w:sz="4"/>
            </w:tcBorders>
            <w:shd w:fill="F4F4F4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Symptômes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Le workflow RAG échoue sur le node 'Recherche Supabase Vector'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Message d'erreur contenant 'JWT' ou 'Authorization failed'</w:t>
            </w:r>
          </w:p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Causes probables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Conflit entre la credential stockée dans n8n et les headers explicites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La credential 'Header Auth' injecte un token qui écrase les headers Supabase</w:t>
            </w:r>
          </w:p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E8A020"/>
                <w:sz w:val="20"/>
                <w:szCs w:val="20"/>
              </w:rPr>
              <w:t xml:space="preserve">Actions correctives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Ouvrez le node HTTP Request incriminé dans n8n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Vérifiez que la section 'Authentication' est vide (None) — pas de credential sélectionnée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Assurez-vous que les headers apikey et Authorization sont en mode 'Explicit Headers'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Ré-importez le fichier RAG_fixed.json si le problème persiste</w:t>
            </w:r>
          </w:p>
        </w:tc>
      </w:tr>
    </w:tbl>
    <w:p>
      <w:pPr>
        <w:spacing w:after="40" w:before="8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thick" w:color="C0392B" w:sz="12"/>
              <w:left w:val="thick" w:color="C0392B" w:sz="24"/>
              <w:bottom w:val="single" w:color="C0392B" w:sz="4"/>
              <w:right w:val="single" w:color="C0392B" w:sz="4"/>
            </w:tcBorders>
            <w:shd w:fill="FEE8E8" w:val="clear"/>
            <w:tcMar>
              <w:top w:type="dxa" w:w="120"/>
              <w:left w:type="dxa" w:w="200"/>
              <w:bottom w:type="dxa" w:w="6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C0392B"/>
                <w:sz w:val="24"/>
                <w:szCs w:val="24"/>
              </w:rPr>
              <w:t xml:space="preserve">P5  </w:t>
            </w: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🔴  ELEVÉ  </w:t>
            </w:r>
            <w:r>
              <w:rPr>
                <w:rFonts w:ascii="Arial" w:cs="Arial" w:eastAsia="Arial" w:hAnsi="Arial"/>
                <w:b/>
                <w:bCs/>
                <w:color w:val="1B3F6E"/>
                <w:sz w:val="24"/>
                <w:szCs w:val="24"/>
              </w:rPr>
              <w:t xml:space="preserve">  Le workflow d'ingestion ne remplit pas Supabase</w:t>
            </w:r>
          </w:p>
        </w:tc>
      </w:tr>
      <w:tr>
        <w:tc>
          <w:tcPr>
            <w:tcW w:type="dxa" w:w="9746"/>
            <w:tcBorders>
              <w:top w:val="none"/>
              <w:left w:val="thick" w:color="C0392B" w:sz="24"/>
              <w:bottom w:val="none"/>
              <w:right w:val="single" w:color="DDDDDD" w:sz="4"/>
            </w:tcBorders>
            <w:shd w:fill="F4F4F4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Symptômes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L'ingestion se termine en 'Succeeded' mais la table documents reste vide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0 résultats dans la base après plusieurs exécutions</w:t>
            </w:r>
          </w:p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Causes probables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Mise à jour 08/07/2026 — correction de cette fiche : le champ specifyBody doit valoir exactement “json” (pas “string”, ni “=json” avec un signe = en trop qui a été la cause réelle observée en production) ; le vrai bug est que jsonBody, qui contient le corps réel, est alors ignoré et un corps vide part vers Supabase, sans faire échouer l’exécution n8n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La contrainte UNIQUE (source_id, chunk_index) manque sur la table documents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Le node 'Découper en chunks' retourne 0 items (fichiers binaires non lisibles)</w:t>
            </w:r>
          </w:p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Actions correctives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Supabase SQL Editor : vérifier que la table 'documents' existe avec la colonne 'embedding vector(1536)'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Vérifier la contrainte : ALTER TABLE documents ADD CONSTRAINT ... UNIQUE (source_id, chunk_index)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Dans n8n : ouvrir le node HTTP Request concerné et confirmer que specifyBody = “json” (exactement, sans espace ni signe = supplémentaire) ET que jsonBody contient bien le corps attendu — ne jamais se fier au seul statut “Succeeded” de l’exécution pour juger qu’un appel envoie réellement ses données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Vérifier que les fichiers .txt sont présents dans les dossiers Drive (pas seulement les DOCX)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Test manuel : curl -X POST .../rest/v1/documents avec un vecteur de test</w:t>
            </w:r>
          </w:p>
        </w:tc>
      </w:tr>
    </w:tbl>
    <w:p>
      <w:pPr>
        <w:spacing w:after="40" w:before="8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thick" w:color="C0392B" w:sz="12"/>
              <w:left w:val="thick" w:color="C0392B" w:sz="24"/>
              <w:bottom w:val="single" w:color="C0392B" w:sz="4"/>
              <w:right w:val="single" w:color="C0392B" w:sz="4"/>
            </w:tcBorders>
            <w:shd w:fill="FEE8E8" w:val="clear"/>
            <w:tcMar>
              <w:top w:type="dxa" w:w="120"/>
              <w:left w:type="dxa" w:w="200"/>
              <w:bottom w:type="dxa" w:w="6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C0392B"/>
                <w:sz w:val="24"/>
                <w:szCs w:val="24"/>
              </w:rPr>
              <w:t xml:space="preserve">P6  </w:t>
            </w: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🔴  ELEVÉ  </w:t>
            </w:r>
            <w:r>
              <w:rPr>
                <w:rFonts w:ascii="Arial" w:cs="Arial" w:eastAsia="Arial" w:hAnsi="Arial"/>
                <w:b/>
                <w:bCs/>
                <w:color w:val="1B3F6E"/>
                <w:sz w:val="24"/>
                <w:szCs w:val="24"/>
              </w:rPr>
              <w:t xml:space="preserve">  Google Drive — 'Cannot read properties of undefined (reading execute)'</w:t>
            </w:r>
          </w:p>
        </w:tc>
      </w:tr>
      <w:tr>
        <w:tc>
          <w:tcPr>
            <w:tcW w:type="dxa" w:w="9746"/>
            <w:tcBorders>
              <w:top w:val="none"/>
              <w:left w:val="thick" w:color="C0392B" w:sz="24"/>
              <w:bottom w:val="none"/>
              <w:right w:val="single" w:color="DDDDDD" w:sz="4"/>
            </w:tcBorders>
            <w:shd w:fill="F4F4F4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Symptômes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Erreur immédiate sur le node Drive dans le workflow d'ingestion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L'opération 'list' n'est pas reconnue</w:t>
            </w:r>
          </w:p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Causes probables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Le node Google Drive v3 ne supporte PAS l'opération 'list' pour les fichiers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Incompatibilité entre la version du node et l'API attendue</w:t>
            </w:r>
          </w:p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Actions correctives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Remplacer le node Drive 'list' par un HTTP Request vers l'API Google Drive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URL : GET https://www.googleapis.com/drive/v3/files?q='{id}'+in+parents+...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Authentication : Predefined Credential Type → Google Drive OAuth2 API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Ajouter un node Code 'Aplatir liste fichiers' après pour extraire files[]</w:t>
            </w:r>
          </w:p>
        </w:tc>
      </w:tr>
    </w:tbl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thick" w:color="C0392B" w:sz="12"/>
              <w:left w:val="thick" w:color="C0392B" w:sz="24"/>
              <w:bottom w:val="single" w:color="C0392B" w:sz="4"/>
              <w:right w:val="single" w:color="C0392B" w:sz="4"/>
            </w:tcBorders>
            <w:shd w:fill="FEE8E8" w:val="clear"/>
            <w:tcMar>
              <w:top w:type="dxa" w:w="120"/>
              <w:left w:type="dxa" w:w="200"/>
              <w:bottom w:type="dxa" w:w="6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C0392B"/>
                <w:sz w:val="24"/>
                <w:szCs w:val="24"/>
              </w:rPr>
              <w:t xml:space="preserve">P7  </w:t>
            </w: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🔴  ELEVÉ — Système partiellement ou totalement arrêté  </w:t>
            </w:r>
            <w:r>
              <w:rPr>
                <w:rFonts w:ascii="Arial" w:cs="Arial" w:eastAsia="Arial" w:hAnsi="Arial"/>
                <w:b/>
                <w:bCs/>
                <w:color w:val="1B3F6E"/>
                <w:sz w:val="24"/>
                <w:szCs w:val="24"/>
              </w:rPr>
              <w:t xml:space="preserve">  Le workflow affiche “Succeeded” mais la recherche vectorielle n’a jamais eu lieu (corps de requête vide)</w:t>
            </w:r>
          </w:p>
        </w:tc>
      </w:tr>
      <w:tr>
        <w:tc>
          <w:tcPr>
            <w:tcW w:type="dxa" w:w="9746"/>
            <w:tcBorders>
              <w:top w:val="none"/>
              <w:left w:val="thick" w:color="C0392B" w:sz="24"/>
              <w:bottom w:val="none"/>
              <w:right w:val="single" w:color="DDDDDD" w:sz="4"/>
            </w:tcBorders>
            <w:shd w:fill="F4F4F4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Symptômes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Aucune erreur visible dans n’importe quel onglet Executions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Les réponses ne citent jamais aucune source, même sur des questions dont on sait que la documentation existe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Le node “Recherche Supabase Vector” produit un item vide ({}) au lieu des documents attendus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Causes probables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Le champ specifyBody vaut “=json” (avec un = en trop) au lieu de “json” — ce n’est pas un champ expression, une bascule d’interface entre les modes “Using Fields Below” et “Using JSON” peut corrompre sa valeur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Le vrai corps de requête, stocké dans jsonBody, est alors ignoré et un corps vide part vers l’API Supabase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Actions correctives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Ouvrir chaque node HTTP Request du workflow et vérifier parameters.specifyBody === “json” exactement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Vérifier aussi que jsonBody contient bien le corps attendu (l’embedding, le seuil, le nombre de résultats)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Ne jamais se fier au statut “Succeeded” seul — toujours ouvrir le panneau OUTPUT du node et compter les items réellement produits</w:t>
            </w:r>
          </w:p>
        </w:tc>
      </w:tr>
    </w:tbl>
    <w:p>
      <w:pPr>
        <w:spacing w:after="40" w:before="80"/>
      </w:pPr>
      <w:r>
        <w:t xml:space="preserve"/>
      </w:r>
    </w:p>
    <w:p>
      <w:pPr>
        <w:spacing w:after="80" w:before="14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thick" w:color="C0392B" w:sz="12"/>
              <w:left w:val="thick" w:color="C0392B" w:sz="24"/>
              <w:bottom w:val="single" w:color="C0392B" w:sz="4"/>
              <w:right w:val="single" w:color="C0392B" w:sz="4"/>
            </w:tcBorders>
            <w:shd w:fill="FEE8E8" w:val="clear"/>
            <w:tcMar>
              <w:top w:type="dxa" w:w="120"/>
              <w:left w:type="dxa" w:w="200"/>
              <w:bottom w:type="dxa" w:w="6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C0392B"/>
                <w:sz w:val="24"/>
                <w:szCs w:val="24"/>
              </w:rPr>
              <w:t xml:space="preserve">P8  </w:t>
            </w: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🔴  ELEVÉ — Système partiellement ou totalement arrêté  </w:t>
            </w:r>
            <w:r>
              <w:rPr>
                <w:rFonts w:ascii="Arial" w:cs="Arial" w:eastAsia="Arial" w:hAnsi="Arial"/>
                <w:b/>
                <w:bCs/>
                <w:color w:val="1B3F6E"/>
                <w:sz w:val="24"/>
                <w:szCs w:val="24"/>
              </w:rPr>
              <w:t xml:space="preserve">  Une question hors-sujet obtient une vraie réponse au lieu d’escalader vers un conseiller humain</w:t>
            </w:r>
          </w:p>
        </w:tc>
      </w:tr>
      <w:tr>
        <w:tc>
          <w:tcPr>
            <w:tcW w:type="dxa" w:w="9746"/>
            <w:tcBorders>
              <w:top w:val="none"/>
              <w:left w:val="thick" w:color="C0392B" w:sz="24"/>
              <w:bottom w:val="none"/>
              <w:right w:val="single" w:color="DDDDDD" w:sz="4"/>
            </w:tcBorders>
            <w:shd w:fill="F4F4F4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Symptômes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L’IA répond librement, hors du périmètre documentaire, sans jamais déclencher l’escalade Chatwoot prévue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La réponse cite “1 source” avec un titre générique (“Document”) et une similarité de 0%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Causes probables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n8n renvoie un item vide ({}) — et non 0 item — quand la recherche vectorielle ne trouve réellement aucun document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Le code qui compte les sources trouvées ne filtrait pas cet item vide, donc le nombre de sources était toujours ≥ 1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Actions correctives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Dans le node qui construit le contexte RAG, filtrer les résultats sur la présence d’un vrai titre ou contenu avant de compter les sources : ne garder que les items où titre ou contenu existe réellement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Retester avec une question volontairement hors-sujet pour confirmer que l’escalade se déclenche bien</w:t>
            </w:r>
          </w:p>
        </w:tc>
      </w:tr>
    </w:tbl>
    <w:p>
      <w:pPr>
        <w:spacing w:after="40" w:before="80"/>
      </w:pPr>
      <w:r>
        <w:t xml:space="preserve"/>
      </w:r>
    </w:p>
    <w:p>
      <w:pPr>
        <w:spacing w:after="80" w:before="14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thick" w:color="E8A020" w:sz="12"/>
              <w:left w:val="thick" w:color="E8A020" w:sz="24"/>
              <w:bottom w:val="single" w:color="E8A020" w:sz="4"/>
              <w:right w:val="single" w:color="E8A020" w:sz="4"/>
            </w:tcBorders>
            <w:shd w:fill="FEF3DC" w:val="clear"/>
            <w:tcMar>
              <w:top w:type="dxa" w:w="120"/>
              <w:left w:type="dxa" w:w="200"/>
              <w:bottom w:type="dxa" w:w="6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E8A020"/>
                <w:sz w:val="24"/>
                <w:szCs w:val="24"/>
              </w:rPr>
              <w:t xml:space="preserve">P9  </w:t>
            </w: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🟡  MOYEN — Impact partiel sur l'usage  </w:t>
            </w:r>
            <w:r>
              <w:rPr>
                <w:rFonts w:ascii="Arial" w:cs="Arial" w:eastAsia="Arial" w:hAnsi="Arial"/>
                <w:b/>
                <w:bCs/>
                <w:color w:val="1B3F6E"/>
                <w:sz w:val="24"/>
                <w:szCs w:val="24"/>
              </w:rPr>
              <w:t xml:space="preserve">  L’escalade vers un conseiller humain échoue silencieusement (aucune notification Chatwoot créée)</w:t>
            </w:r>
          </w:p>
        </w:tc>
      </w:tr>
      <w:tr>
        <w:tc>
          <w:tcPr>
            <w:tcW w:type="dxa" w:w="9746"/>
            <w:tcBorders>
              <w:top w:val="none"/>
              <w:left w:val="thick" w:color="E8A020" w:sz="24"/>
              <w:bottom w:val="none"/>
              <w:right w:val="single" w:color="DDDDDD" w:sz="4"/>
            </w:tcBorders>
            <w:shd w:fill="F4F4F4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Symptômes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Le prospect reçoit bien le message “un conseiller va vous recontacter”, mais aucune conversation n’apparaît réellement dans Chatwoot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Aucun agent n’est notifié d’une question sans réponse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Causes probables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Le token API Chatwoot codé en dur dans les nodes d’escalade est expiré ou a été invalidé par la régénération d’un token sur un autre workflow du même compte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Les champs inbox_id et contact_id utilisés pour créer la conversation contiennent des valeurs factices (1) au lieu des vrais identifiants du compte Chatwoot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Actions correctives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Régénérer un token Chatwoot valide (Profil → Access Token) et le reporter sur tous les nodes concernés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Vérifier les vrais inbox_id via GET /api/v1/accounts/{account_id}/inboxes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Créer ou identifier un contact dédié aux escalades système plutôt que d’utiliser contact_id: 1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Ajouter onError: continueRegularOutput sur ces nodes pour que le webhook réponde toujours à l’appelant même si la notification interne échoue</w:t>
            </w:r>
          </w:p>
        </w:tc>
      </w:tr>
    </w:tbl>
    <w:p>
      <w:pPr>
        <w:spacing w:after="40" w:before="80"/>
      </w:pPr>
      <w:r>
        <w:t xml:space="preserve"/>
      </w:r>
    </w:p>
    <w:p>
      <w:pPr>
        <w:spacing w:after="80" w:before="14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thick" w:color="C0392B" w:sz="12"/>
              <w:left w:val="thick" w:color="C0392B" w:sz="24"/>
              <w:bottom w:val="single" w:color="C0392B" w:sz="4"/>
              <w:right w:val="single" w:color="C0392B" w:sz="4"/>
            </w:tcBorders>
            <w:shd w:fill="FEE8E8" w:val="clear"/>
            <w:tcMar>
              <w:top w:type="dxa" w:w="120"/>
              <w:left w:type="dxa" w:w="200"/>
              <w:bottom w:type="dxa" w:w="6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C0392B"/>
                <w:sz w:val="24"/>
                <w:szCs w:val="24"/>
              </w:rPr>
              <w:t xml:space="preserve">P10  </w:t>
            </w: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🔴  ELEVÉ — Système partiellement ou totalement arrêté  </w:t>
            </w:r>
            <w:r>
              <w:rPr>
                <w:rFonts w:ascii="Arial" w:cs="Arial" w:eastAsia="Arial" w:hAnsi="Arial"/>
                <w:b/>
                <w:bCs/>
                <w:color w:val="1B3F6E"/>
                <w:sz w:val="24"/>
                <w:szCs w:val="24"/>
              </w:rPr>
              <w:t xml:space="preserve">  Les réponses WhatsApp ne citent jamais aucune source RAG, malgré une recherche documentaire qui fonctionne correctement</w:t>
            </w:r>
          </w:p>
        </w:tc>
      </w:tr>
      <w:tr>
        <w:tc>
          <w:tcPr>
            <w:tcW w:type="dxa" w:w="9746"/>
            <w:tcBorders>
              <w:top w:val="none"/>
              <w:left w:val="thick" w:color="C0392B" w:sz="24"/>
              <w:bottom w:val="none"/>
              <w:right w:val="single" w:color="DDDDDD" w:sz="4"/>
            </w:tcBorders>
            <w:shd w:fill="F4F4F4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Symptômes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Le compteur interne de sources trouvées (rag_sources_count) reste à 0 dans 100% des conversations, même sur des questions dont la documentation existe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L’IA répond correctement mais jamais de façon spécifiquement ancrée dans les documents TransferAI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Causes probables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Le node qui construit le prompt envoyé à GPT ne lit que le premier résultat renvoyé par n8n via .first(), alors qu’une réponse contenant plusieurs documents est éclatée par n8n en autant d’items séparés — un seul document (ou aucun) était donc jamais lu, peu importe le nombre réel de résultats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Actions correctives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Remplacer la lecture par $(‘Nom du node de recherche’).all().map(item ⇒ item.json), puis filtrer les items sans titre ni contenu réel avant de les injecter dans le prompt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Valider hors-ligne en rejouant les données d’une exécution passée avant de déployer, plutôt que de tester en direct sur un canal client</w:t>
            </w:r>
          </w:p>
        </w:tc>
      </w:tr>
    </w:tbl>
    <w:p>
      <w:pPr>
        <w:spacing w:after="40" w:before="80"/>
      </w:pPr>
      <w:r>
        <w:t xml:space="preserve"/>
      </w:r>
    </w:p>
    <w:p>
      <w:pPr>
        <w:spacing w:after="80" w:before="14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thick" w:color="E8A020" w:sz="12"/>
              <w:left w:val="thick" w:color="E8A020" w:sz="24"/>
              <w:bottom w:val="single" w:color="E8A020" w:sz="4"/>
              <w:right w:val="single" w:color="E8A020" w:sz="4"/>
            </w:tcBorders>
            <w:shd w:fill="FEF3DC" w:val="clear"/>
            <w:tcMar>
              <w:top w:type="dxa" w:w="120"/>
              <w:left w:type="dxa" w:w="200"/>
              <w:bottom w:type="dxa" w:w="6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E8A020"/>
                <w:sz w:val="24"/>
                <w:szCs w:val="24"/>
              </w:rPr>
              <w:t xml:space="preserve">P11  </w:t>
            </w: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🟡  MOYEN — Impact partiel sur l'usage  </w:t>
            </w:r>
            <w:r>
              <w:rPr>
                <w:rFonts w:ascii="Arial" w:cs="Arial" w:eastAsia="Arial" w:hAnsi="Arial"/>
                <w:b/>
                <w:bCs/>
                <w:color w:val="1B3F6E"/>
                <w:sz w:val="24"/>
                <w:szCs w:val="24"/>
              </w:rPr>
              <w:t xml:space="preserve">  Un message généré par l’IA n’arrive jamais sur WhatsApp, malgré une exécution “Succeeded”</w:t>
            </w:r>
          </w:p>
        </w:tc>
      </w:tr>
      <w:tr>
        <w:tc>
          <w:tcPr>
            <w:tcW w:type="dxa" w:w="9746"/>
            <w:tcBorders>
              <w:top w:val="none"/>
              <w:left w:val="thick" w:color="E8A020" w:sz="24"/>
              <w:bottom w:val="none"/>
              <w:right w:val="single" w:color="DDDDDD" w:sz="4"/>
            </w:tcBorders>
            <w:shd w:fill="F4F4F4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Symptômes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Toutes les étapes du workflow s’exécutent sans erreur apparente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Le node d’envoi vers Chatwoot renvoie en réalité {"error": "Invalid Access Token"} dans sa sortie, invisible tant qu’on ne l’ouvre pas explicitement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Causes probables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Un compte Chatwoot n’a qu’un seul token d’accès agent actif à la fois : régénérer ce token pour corriger un autre workflow du même compte invalide silencieusement l’ancien token encore utilisé ailleurs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Les nodes concernés ont neverError activé dans leurs options, donc l’échec ne fait jamais planter l’exécution n8n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Actions correctives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Après toute régénération d’un token Chatwoot, mettre à jour TOUS les workflows connus du même compte, pas seulement celui qu’on est en train de corriger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Ouvrir systématiquement la sortie réelle des nodes vers Chatwoot (pas seulement le statut d’exécution) pour vérifier l’absence du champ error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Confirmer la livraison en envoyant un vrai message de test et en vérifiant sa réception sur le téléphone, pas seulement dans les logs n8n</w:t>
            </w:r>
          </w:p>
        </w:tc>
      </w:tr>
    </w:tbl>
    <w:p>
      <w:pPr>
        <w:spacing w:after="40" w:before="80"/>
      </w:pPr>
      <w:r>
        <w:t xml:space="preserve"/>
      </w:r>
    </w:p>
    <w:p>
      <w:pPr>
        <w:spacing w:after="80" w:before="140"/>
      </w:pPr>
      <w:r>
        <w:t xml:space="preserve"/>
      </w:r>
    </w:p>
    <w:p>
      <w:pPr>
        <w:spacing w:after="40" w:before="80"/>
      </w:pPr>
      <w:r>
        <w:t xml:space="preserve"/>
      </w:r>
    </w:p>
    <w:p>
      <w:pPr>
        <w:spacing w:after="80" w:before="14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B3F6E"/>
          <w:sz w:val="26"/>
          <w:szCs w:val="26"/>
        </w:rPr>
        <w:t xml:space="preserve">4.7  Checklist de Vérification Quotidienne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Effectuez ces vérifications chaque matin pour garantir le bon fonctionnement du système RAG :</w:t>
      </w:r>
    </w:p>
    <w:p>
      <w:pPr>
        <w:spacing w:after="80" w:before="8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246"/>
        <w:gridCol w:w="2000"/>
        <w:gridCol w:w="2000"/>
      </w:tblGrid>
      <w:tr>
        <w:trPr>
          <w:tblHeader/>
        </w:trPr>
        <w:tc>
          <w:tcPr>
            <w:tcW w:type="dxa" w:w="5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5246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Vérification</w:t>
            </w:r>
          </w:p>
        </w:tc>
        <w:tc>
          <w:tcPr>
            <w:tcW w:type="dxa" w:w="20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Où vérifier</w:t>
            </w:r>
          </w:p>
        </w:tc>
        <w:tc>
          <w:tcPr>
            <w:tcW w:type="dxa" w:w="20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Fréquence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F6E"/>
                <w:sz w:val="28"/>
                <w:szCs w:val="28"/>
              </w:rPr>
              <w:t xml:space="preserve">☐</w:t>
            </w:r>
          </w:p>
        </w:tc>
        <w:tc>
          <w:tcPr>
            <w:tcW w:type="dxa" w:w="5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Table 'documents' contient des enregistrements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Supabase → Table Editor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Quotidien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5F0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7D6B"/>
                <w:sz w:val="28"/>
                <w:szCs w:val="28"/>
              </w:rPr>
              <w:t xml:space="preserve">☐</w:t>
            </w:r>
          </w:p>
        </w:tc>
        <w:tc>
          <w:tcPr>
            <w:tcW w:type="dxa" w:w="5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5F0E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Workflow RAG est en mode 'Published'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n8n → Workflow list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Quotidien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F6E"/>
                <w:sz w:val="28"/>
                <w:szCs w:val="28"/>
              </w:rPr>
              <w:t xml:space="preserve">☐</w:t>
            </w:r>
          </w:p>
        </w:tc>
        <w:tc>
          <w:tcPr>
            <w:tcW w:type="dxa" w:w="5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Workflow Ingestion a tourné dans les dernières 6h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n8n → Executions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Quotidien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5F0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7D6B"/>
                <w:sz w:val="28"/>
                <w:szCs w:val="28"/>
              </w:rPr>
              <w:t xml:space="preserve">☐</w:t>
            </w:r>
          </w:p>
        </w:tc>
        <w:tc>
          <w:tcPr>
            <w:tcW w:type="dxa" w:w="5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5F0E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Clé API OpenAI est valide (non expirée)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platform.openai.com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Hebdomadaire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F6E"/>
                <w:sz w:val="28"/>
                <w:szCs w:val="28"/>
              </w:rPr>
              <w:t xml:space="preserve">☐</w:t>
            </w:r>
          </w:p>
        </w:tc>
        <w:tc>
          <w:tcPr>
            <w:tcW w:type="dxa" w:w="5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Credential Google Drive OAuth est actif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n8n → Credentials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Mensuel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5F0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7D6B"/>
                <w:sz w:val="28"/>
                <w:szCs w:val="28"/>
              </w:rPr>
              <w:t xml:space="preserve">☐</w:t>
            </w:r>
          </w:p>
        </w:tc>
        <w:tc>
          <w:tcPr>
            <w:tcW w:type="dxa" w:w="5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5F0E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Nouveaux documents ajoutés dans les sous-dossiers Drive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Google Drive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Au besoin</w:t>
            </w:r>
          </w:p>
        </w:tc>
      </w:tr>
    </w:tbl>
    <w:p>
      <w:pPr>
        <w:spacing w:after="80" w:before="200"/>
      </w:pPr>
      <w:r>
        <w:t xml:space="preserve"/>
      </w:r>
    </w:p>
    <w:p>
      <w:r>
        <w:br w:type="page"/>
      </w:r>
    </w:p>
    <w:p>
      <w:pPr>
        <w:pStyle w:val="Heading1"/>
        <w:spacing w:after="120" w:before="320"/>
      </w:pPr>
      <w:bookmarkStart w:name="part5" w:id="5"/>
      <w:r>
        <w:rPr>
          <w:rFonts w:ascii="Arial" w:cs="Arial" w:eastAsia="Arial" w:hAnsi="Arial"/>
          <w:b/>
          <w:bCs/>
          <w:color w:val="1B3F6E"/>
          <w:sz w:val="34"/>
          <w:szCs w:val="34"/>
        </w:rPr>
        <w:t xml:space="preserve">PARTIE 5 — Contacts &amp; Ressources</w:t>
      </w:r>
      <w:bookmarkEnd w:id="5"/>
    </w:p>
    <w:p>
      <w:pPr>
        <w:pBdr>
          <w:bottom w:val="single" w:color="1B3F6E" w:sz="10" w:space="1"/>
        </w:pBdr>
        <w:spacing w:after="60" w:before="6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B3F6E"/>
          <w:sz w:val="26"/>
          <w:szCs w:val="26"/>
        </w:rPr>
        <w:t xml:space="preserve">5.1  Contacts Support</w:t>
      </w:r>
    </w:p>
    <w:p>
      <w:pPr>
        <w:spacing w:after="80" w:before="8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746"/>
        <w:gridCol w:w="4000"/>
      </w:tblGrid>
      <w:tr>
        <w:trPr>
          <w:tblHeader/>
        </w:trPr>
        <w:tc>
          <w:tcPr>
            <w:tcW w:type="dxa" w:w="30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Rôle</w:t>
            </w:r>
          </w:p>
        </w:tc>
        <w:tc>
          <w:tcPr>
            <w:tcW w:type="dxa" w:w="2746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Contact</w:t>
            </w:r>
          </w:p>
        </w:tc>
        <w:tc>
          <w:tcPr>
            <w:tcW w:type="dxa" w:w="40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Pour quel problème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Administrateur Système</w:t>
            </w:r>
          </w:p>
        </w:tc>
        <w:tc>
          <w:tcPr>
            <w:tcW w:type="dxa" w:w="27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Équipe Technique TransferAI</w:t>
            </w:r>
          </w:p>
        </w:tc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Erreurs workflows n8n, Supabase, credentials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Support Formation</w:t>
            </w:r>
          </w:p>
        </w:tc>
        <w:tc>
          <w:tcPr>
            <w:tcW w:type="dxa" w:w="27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Formation IA — Juillet 2026</w:t>
            </w:r>
          </w:p>
        </w:tc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Questions sur le contenu du guide, cas d'usage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Manager des Opérations</w:t>
            </w:r>
          </w:p>
        </w:tc>
        <w:tc>
          <w:tcPr>
            <w:tcW w:type="dxa" w:w="27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contact@transferai.ci</w:t>
            </w:r>
          </w:p>
        </w:tc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Escalades, décisions stratégiques base documentaire</w:t>
            </w:r>
          </w:p>
        </w:tc>
      </w:tr>
    </w:tbl>
    <w:p>
      <w:pPr>
        <w:spacing w:after="80" w:before="14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B3F6E"/>
          <w:sz w:val="26"/>
          <w:szCs w:val="26"/>
        </w:rPr>
        <w:t xml:space="preserve">5.2  Liens Utiles</w:t>
      </w:r>
    </w:p>
    <w:p>
      <w:pPr>
        <w:spacing w:after="80" w:before="8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246"/>
      </w:tblGrid>
      <w:tr>
        <w:trPr>
          <w:tblHeader/>
        </w:trPr>
        <w:tc>
          <w:tcPr>
            <w:tcW w:type="dxa" w:w="35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Ressource</w:t>
            </w:r>
          </w:p>
        </w:tc>
        <w:tc>
          <w:tcPr>
            <w:tcW w:type="dxa" w:w="6246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Accès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Interface n8n (workflows)</w:t>
            </w:r>
          </w:p>
        </w:tc>
        <w:tc>
          <w:tcPr>
            <w:tcW w:type="dxa" w:w="6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0D7D6B"/>
                <w:sz w:val="20"/>
                <w:szCs w:val="20"/>
              </w:rPr>
              <w:t xml:space="preserve">https://n8n-pxlk.srv1480638.hstgr.cloud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Base de données Supabase</w:t>
            </w:r>
          </w:p>
        </w:tc>
        <w:tc>
          <w:tcPr>
            <w:tcW w:type="dxa" w:w="6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0D7D6B"/>
                <w:sz w:val="20"/>
                <w:szCs w:val="20"/>
              </w:rPr>
              <w:t xml:space="preserve">https://wlhznciwuofueffyoflo.supabase.co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Chatwoot (interface client)</w:t>
            </w:r>
          </w:p>
        </w:tc>
        <w:tc>
          <w:tcPr>
            <w:tcW w:type="dxa" w:w="6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0D7D6B"/>
                <w:sz w:val="20"/>
                <w:szCs w:val="20"/>
              </w:rPr>
              <w:t xml:space="preserve">https://app.chatwoot.com — Compte 163278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Google Drive — Base documentaire</w:t>
            </w:r>
          </w:p>
        </w:tc>
        <w:tc>
          <w:tcPr>
            <w:tcW w:type="dxa" w:w="6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0D7D6B"/>
                <w:sz w:val="20"/>
                <w:szCs w:val="20"/>
              </w:rPr>
              <w:t xml:space="preserve">Base documentaire RAG / (7 sous-dossiers)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Webhook RAG (externe)</w:t>
            </w:r>
          </w:p>
        </w:tc>
        <w:tc>
          <w:tcPr>
            <w:tcW w:type="dxa" w:w="6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0D7D6B"/>
                <w:sz w:val="20"/>
                <w:szCs w:val="20"/>
              </w:rPr>
              <w:t xml:space="preserve">POST /webhook/recherche-documentaire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Webhook RAG (interne)</w:t>
            </w:r>
          </w:p>
        </w:tc>
        <w:tc>
          <w:tcPr>
            <w:tcW w:type="dxa" w:w="6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0D7D6B"/>
                <w:sz w:val="20"/>
                <w:szCs w:val="20"/>
              </w:rPr>
              <w:t xml:space="preserve">POST /webhook/recherche-documentaire-interne (workflow Recherche_Documentaire_RAG)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Interface Web RAG (nouveau)</w:t>
            </w:r>
          </w:p>
        </w:tc>
        <w:tc>
          <w:tcPr>
            <w:tcW w:type="dxa" w:w="6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0D7D6B"/>
                <w:sz w:val="20"/>
                <w:szCs w:val="20"/>
              </w:rPr>
              <w:t xml:space="preserve">https://www.transferai.ci/demo/recherche-documentaire — page publique, sans authentification, réservée à un usage interne par convention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Statut OpenAI</w:t>
            </w:r>
          </w:p>
        </w:tc>
        <w:tc>
          <w:tcPr>
            <w:tcW w:type="dxa" w:w="6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0D7D6B"/>
                <w:sz w:val="20"/>
                <w:szCs w:val="20"/>
              </w:rPr>
              <w:t xml:space="preserve">https://status.openai.com</w:t>
            </w:r>
          </w:p>
        </w:tc>
      </w:tr>
    </w:tbl>
    <w:p>
      <w:pPr>
        <w:spacing w:after="100" w:before="200"/>
      </w:pPr>
      <w:r>
        <w:t xml:space="preserve"/>
      </w:r>
    </w:p>
    <w:p>
      <w:pPr>
        <w:pBdr>
          <w:bottom w:val="single" w:color="E8A020" w:sz="16" w:space="1"/>
        </w:pBdr>
        <w:spacing w:after="60" w:before="60"/>
      </w:pPr>
      <w:r>
        <w:t xml:space="preserve"/>
      </w:r>
    </w:p>
    <w:p>
      <w:pPr>
        <w:spacing w:after="60" w:before="100"/>
      </w:pPr>
      <w:r>
        <w:t xml:space="preserve"/>
      </w:r>
    </w:p>
    <w:p>
      <w:pPr>
        <w:spacing w:after="40" w:before="60"/>
        <w:jc w:val="center"/>
      </w:pPr>
      <w:r>
        <w:rPr>
          <w:rFonts w:ascii="Arial" w:cs="Arial" w:eastAsia="Arial" w:hAnsi="Arial"/>
          <w:b/>
          <w:bCs/>
          <w:color w:val="1B3F6E"/>
          <w:sz w:val="20"/>
          <w:szCs w:val="20"/>
        </w:rPr>
        <w:t xml:space="preserve">TransferAI Africa — Formation IA Pratique aux Métiers — Juillet 2026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Ce document est mis à jour automatiquement à chaque cycle de formation.</w:t>
      </w:r>
    </w:p>
    <w:p>
      <w:pPr>
        <w:spacing w:after="40" w:before="40"/>
        <w:jc w:val="center"/>
      </w:pPr>
      <w:r>
        <w:rPr>
          <w:rFonts w:ascii="Arial" w:cs="Arial" w:eastAsia="Arial" w:hAnsi="Arial"/>
          <w:color w:val="0D7D6B"/>
          <w:sz w:val="20"/>
          <w:szCs w:val="20"/>
        </w:rPr>
        <w:t xml:space="preserve">www.transferai.ci  |  contact@transferai.ci</w:t>
      </w:r>
    </w:p>
    <w:sectPr>
      <w:headerReference w:type="default" r:id="rId9"/>
      <w:footerReference w:type="default" r:id="rId10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8A020" w:sz="6" w:space="1"/>
      </w:pBdr>
      <w:tabs>
        <w:tab w:val="right" w:pos="9026"/>
      </w:tabs>
      <w:spacing w:after="0" w:before="80"/>
    </w:pPr>
    <w:r>
      <w:rPr>
        <w:rFonts w:ascii="Arial" w:cs="Arial" w:eastAsia="Arial" w:hAnsi="Arial"/>
        <w:i/>
        <w:iCs/>
        <w:color w:val="555555"/>
        <w:sz w:val="17"/>
        <w:szCs w:val="17"/>
      </w:rPr>
      <w:t xml:space="preserve">Confidentiel — Usage interne</w:t>
    </w:r>
    <w:r>
      <w:rPr>
        <w:rFonts w:ascii="Arial" w:cs="Arial" w:eastAsia="Arial" w:hAnsi="Arial"/>
        <w:color w:val="555555"/>
        <w:sz w:val="17"/>
        <w:szCs w:val="17"/>
      </w:rPr>
      <w:t xml:space="preserve">	Page </w:t>
    </w:r>
    <w:r>
      <w:rPr>
        <w:rFonts w:ascii="Arial" w:cs="Arial" w:eastAsia="Arial" w:hAnsi="Arial"/>
        <w:b/>
        <w:bCs/>
        <w:color w:val="1B3F6E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F6E" w:sz="6" w:space="1"/>
      </w:pBdr>
      <w:tabs>
        <w:tab w:val="right" w:pos="9026"/>
      </w:tabs>
      <w:spacing w:after="80" w:before="0"/>
    </w:pPr>
    <w:r>
      <w:rPr>
        <w:rFonts w:ascii="Arial" w:cs="Arial" w:eastAsia="Arial" w:hAnsi="Arial"/>
        <w:b/>
        <w:bCs/>
        <w:color w:val="1B3F6E"/>
        <w:sz w:val="18"/>
        <w:szCs w:val="18"/>
      </w:rPr>
      <w:t xml:space="preserve">TransferAI Africa  —  Guide RAG</w:t>
    </w:r>
    <w:r>
      <w:rPr>
        <w:rFonts w:ascii="Arial" w:cs="Arial" w:eastAsia="Arial" w:hAnsi="Arial"/>
        <w:color w:val="555555"/>
        <w:sz w:val="18"/>
        <w:szCs w:val="18"/>
      </w:rPr>
      <w:t xml:space="preserve">	Formation IA Juillet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►"/>
      <w:lvlJc w:val="left"/>
      <w:pPr>
        <w:ind w:left="58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B3F6E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1B3F6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0D7D6B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2026-07-03T00:35:31.322Z</dcterms:created>
  <dcterms:modified xsi:type="dcterms:W3CDTF">2026-07-03T00:35:31.323Z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