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5842A"/>
          <w:sz w:val="18"/>
          <w:szCs w:val="18"/>
        </w:rPr>
        <w:t xml:space="preserve">TRANSFERAI AFRICA — CAS D'USAGE</w:t>
      </w:r>
    </w:p>
    <w:p>
      <w:pPr>
        <w:spacing w:after="200"/>
      </w:pPr>
      <w:r>
        <w:rPr>
          <w:b/>
          <w:bCs/>
          <w:color w:val="163556"/>
          <w:sz w:val="40"/>
          <w:szCs w:val="40"/>
        </w:rPr>
        <w:t xml:space="preserve">Gestion de Flotte et Logistique IA — Cockpit Flotte</w:t>
      </w:r>
    </w:p>
    <w:p>
      <w:pPr>
        <w:spacing w:after="260"/>
      </w:pPr>
      <w:r>
        <w:rPr>
          <w:i/>
          <w:iCs/>
          <w:color w:val="6B7280"/>
          <w:sz w:val="21"/>
          <w:szCs w:val="21"/>
        </w:rPr>
        <w:t xml:space="preserve">Module 5 du mini-catalogue de formation ELTON OIL CI — préparé pour la rencontre du 25/07/2026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A441" w:sz="12"/>
              <w:left w:val="single" w:color="D9A441" w:sz="24"/>
              <w:bottom w:val="single" w:color="D9A441" w:sz="12"/>
              <w:right w:val="single" w:color="D9A441" w:sz="12"/>
            </w:tcBorders>
            <w:shd w:fill="FDF3E7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/>
            </w:pPr>
            <w:r>
              <w:rPr>
                <w:b/>
                <w:bCs/>
                <w:color w:val="8A5A12"/>
                <w:sz w:val="21"/>
                <w:szCs w:val="21"/>
              </w:rPr>
              <w:t xml:space="preserve">⚠ Transparence obligatoire — à lire avant de présenter ce module</w:t>
            </w:r>
          </w:p>
          <w:p>
            <w:pPr>
              <w:spacing w:after="0"/>
            </w:pPr>
            <w:r>
              <w:rPr>
                <w:color w:val="5C3D0E"/>
                <w:sz w:val="20"/>
                <w:szCs w:val="20"/>
              </w:rPr>
              <w:t xml:space="preserve">Contrairement aux 7 autres formations du parcours, il n'existe à ce jour (21/07/2026) aucun cas d'usage TransferAI « flotte » déjà construit ou démontré en production. Ce module s'appuie honnêtement sur l'architecture déjà validée du pipeline Pré-clôture bancaire (détection d'écarts + synthèse IA + validation humaine) comme gabarit transposable — le cockpit flotte réel pour ELTON reste un livrable du parcours (J+15), pas une démo existante à ce stade.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63556"/>
          <w:sz w:val="30"/>
          <w:szCs w:val="30"/>
        </w:rPr>
        <w:t xml:space="preserve">1. Le problème métier</w:t>
      </w:r>
    </w:p>
    <w:p>
      <w:pPr>
        <w:spacing w:after="160"/>
      </w:pPr>
      <w:r>
        <w:rPr>
          <w:sz w:val="21"/>
          <w:szCs w:val="21"/>
        </w:rPr>
        <w:t xml:space="preserve">Une flotte de véhicules (pick-up, camions-citernes, berlines de direction, engins de site) génère en continu des données dispersées : carburant délivré par carte ou bon, kilométrage relevé par GPS/télématique ou déclaré par le chauffeur, échéances d'entretien planifiées dans un registre ou un tableur. Sans recoupement systématique, trois risques restent invisibles jusqu'à ce qu'ils coûtent cher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Surconsommation ou détournement de carburant — un plein anormalement élevé par rapport au kilométrage réellement parcouru.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Kilométrage non justifié — un trajet déclaré sans carnet de route rapprochable, donc invérifiable a posteriori.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Entretien manqué — un véhicule qui dépasse son échéance de maintenance sans que personne ne le remonte, avec un risque direct de panne ou d'accident.</w:t>
      </w:r>
    </w:p>
    <w:p>
      <w:pPr>
        <w:spacing w:after="160"/>
      </w:pPr>
      <w:r>
        <w:rPr>
          <w:sz w:val="21"/>
          <w:szCs w:val="21"/>
        </w:rPr>
        <w:t xml:space="preserve">Le rôle de l'IA n'est pas de remplacer le gestionnaire de flotte, mais de lui livrer chaque mois une liste déjà priorisée des véhicules à regarder en premier — à charge pour lui de valider avant toute décision opérationnelle ou disciplinaire.</w:t>
      </w:r>
    </w:p>
    <w:p>
      <w:pPr>
        <w:pStyle w:val="Heading1"/>
        <w:spacing w:after="160" w:before="360"/>
      </w:pPr>
      <w:r>
        <w:rPr>
          <w:b/>
          <w:bCs/>
          <w:color w:val="163556"/>
          <w:sz w:val="30"/>
          <w:szCs w:val="30"/>
        </w:rPr>
        <w:t xml:space="preserve">2. Ce qui existe réellement aujourd'hui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pct" w:w="33%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shd w:fill="F8FAF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63556"/>
                <w:sz w:val="30"/>
                <w:szCs w:val="30"/>
              </w:rPr>
              <w:t xml:space="preserve">5</w:t>
            </w:r>
          </w:p>
          <w:p>
            <w:pPr>
              <w:jc w:val="center"/>
            </w:pPr>
            <w:r>
              <w:rPr>
                <w:color w:val="6B7280"/>
                <w:sz w:val="17"/>
                <w:szCs w:val="17"/>
              </w:rPr>
              <w:t xml:space="preserve">Véhicules analysés (démo)</w:t>
            </w:r>
          </w:p>
        </w:tc>
        <w:tc>
          <w:tcPr>
            <w:tcW w:type="pct" w:w="33%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shd w:fill="F8FAF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B45309"/>
                <w:sz w:val="30"/>
                <w:szCs w:val="30"/>
              </w:rPr>
              <w:t xml:space="preserve">3</w:t>
            </w:r>
          </w:p>
          <w:p>
            <w:pPr>
              <w:jc w:val="center"/>
            </w:pPr>
            <w:r>
              <w:rPr>
                <w:color w:val="6B7280"/>
                <w:sz w:val="17"/>
                <w:szCs w:val="17"/>
              </w:rPr>
              <w:t xml:space="preserve">Écarts détectés</w:t>
            </w:r>
          </w:p>
        </w:tc>
        <w:tc>
          <w:tcPr>
            <w:tcW w:type="pct" w:w="33%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shd w:fill="F8FAF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B91C1C"/>
                <w:sz w:val="30"/>
                <w:szCs w:val="30"/>
              </w:rPr>
              <w:t xml:space="preserve">2</w:t>
            </w:r>
          </w:p>
          <w:p>
            <w:pPr>
              <w:jc w:val="center"/>
            </w:pPr>
            <w:r>
              <w:rPr>
                <w:color w:val="6B7280"/>
                <w:sz w:val="17"/>
                <w:szCs w:val="17"/>
              </w:rPr>
              <w:t xml:space="preserve">Priorité élevée</w:t>
            </w:r>
          </w:p>
        </w:tc>
      </w:tr>
    </w:tbl>
    <w:p>
      <w:pPr>
        <w:spacing w:before="200"/>
      </w:pPr>
      <w:r>
        <w:rPr>
          <w:sz w:val="4"/>
          <w:szCs w:val="4"/>
        </w:rPr>
        <w:t xml:space="preserve"/>
      </w:r>
    </w:p>
    <w:p>
      <w:pPr>
        <w:spacing w:after="160"/>
      </w:pPr>
      <w:r>
        <w:rPr>
          <w:sz w:val="21"/>
          <w:szCs w:val="21"/>
        </w:rPr>
        <w:t xml:space="preserve">Le workflow n8n livré avec ce module (fichier 163_n8n_Demo_Gestion_Flotte_Detection_Ecarts_Validation_Humaine_21juillet2026.json) est un gabarit fonctionnel et importable, construit en transposant terme à terme l'architecture déjà validée en production du pipeline Pré-clôture bancaire (Demo_Pre_Cloture_Bancaire_Validation_Humaine). Il tourne sur un jeu de données de démonstration à 5 véhicules — pas sur les données réelles d'ELTON.</w:t>
      </w:r>
    </w:p>
    <w:p>
      <w:pPr>
        <w:pStyle w:val="Heading1"/>
        <w:spacing w:after="160" w:before="360"/>
      </w:pPr>
      <w:r>
        <w:rPr>
          <w:b/>
          <w:bCs/>
          <w:color w:val="163556"/>
          <w:sz w:val="30"/>
          <w:szCs w:val="30"/>
        </w:rPr>
        <w:t xml:space="preserve">3. Le pipeline en 5 étapes</w:t>
      </w:r>
    </w:p>
    <w:p>
      <w:pPr>
        <w:spacing w:after="40" w:before="160"/>
      </w:pPr>
      <w:r>
        <w:rPr>
          <w:b/>
          <w:bCs/>
          <w:color w:val="B5842A"/>
          <w:sz w:val="22"/>
          <w:szCs w:val="22"/>
        </w:rPr>
        <w:t xml:space="preserve">1. </w:t>
      </w:r>
      <w:r>
        <w:rPr>
          <w:b/>
          <w:bCs/>
          <w:color w:val="163556"/>
          <w:sz w:val="22"/>
          <w:szCs w:val="22"/>
        </w:rPr>
        <w:t xml:space="preserve">Ingestion des données flotte</w:t>
      </w:r>
    </w:p>
    <w:p>
      <w:pPr>
        <w:spacing w:after="100"/>
        <w:ind w:left="360"/>
      </w:pPr>
      <w:r>
        <w:rPr>
          <w:color w:val="374151"/>
          <w:sz w:val="20"/>
          <w:szCs w:val="20"/>
        </w:rPr>
        <w:t xml:space="preserve">Déclenchement manuel (démo) ou webhook (production) recevant, par véhicule : consommation carburant relevée, consommation attendue selon kilométrage, statut du carnet de route, chauffeur assigné.</w:t>
      </w:r>
    </w:p>
    <w:p>
      <w:pPr>
        <w:spacing w:after="40" w:before="160"/>
      </w:pPr>
      <w:r>
        <w:rPr>
          <w:b/>
          <w:bCs/>
          <w:color w:val="B5842A"/>
          <w:sz w:val="22"/>
          <w:szCs w:val="22"/>
        </w:rPr>
        <w:t xml:space="preserve">2. </w:t>
      </w:r>
      <w:r>
        <w:rPr>
          <w:b/>
          <w:bCs/>
          <w:color w:val="163556"/>
          <w:sz w:val="22"/>
          <w:szCs w:val="22"/>
        </w:rPr>
        <w:t xml:space="preserve">Détection d'écarts et priorisation</w:t>
      </w:r>
    </w:p>
    <w:p>
      <w:pPr>
        <w:spacing w:after="100"/>
        <w:ind w:left="360"/>
      </w:pPr>
      <w:r>
        <w:rPr>
          <w:color w:val="374151"/>
          <w:sz w:val="20"/>
          <w:szCs w:val="20"/>
        </w:rPr>
        <w:t xml:space="preserve">Un moteur de règles calcule l'écart absolu (litres) et relatif (%) entre consommation relevée et attendue, vérifie l'absence de carnet de route, puis classe chaque véhicule en sévérité élevée / moyenne / aucun écart.</w:t>
      </w:r>
    </w:p>
    <w:p>
      <w:pPr>
        <w:spacing w:after="40" w:before="160"/>
      </w:pPr>
      <w:r>
        <w:rPr>
          <w:b/>
          <w:bCs/>
          <w:color w:val="B5842A"/>
          <w:sz w:val="22"/>
          <w:szCs w:val="22"/>
        </w:rPr>
        <w:t xml:space="preserve">3. </w:t>
      </w:r>
      <w:r>
        <w:rPr>
          <w:b/>
          <w:bCs/>
          <w:color w:val="163556"/>
          <w:sz w:val="22"/>
          <w:szCs w:val="22"/>
        </w:rPr>
        <w:t xml:space="preserve">Synthèse IA</w:t>
      </w:r>
    </w:p>
    <w:p>
      <w:pPr>
        <w:spacing w:after="100"/>
        <w:ind w:left="360"/>
      </w:pPr>
      <w:r>
        <w:rPr>
          <w:color w:val="374151"/>
          <w:sz w:val="20"/>
          <w:szCs w:val="20"/>
        </w:rPr>
        <w:t xml:space="preserve">GPT-4o-mini rédige un résumé exécutif structuré à partir des écarts détectés, avec une consigne explicite de prudence : ne jamais accuser un chauffeur nommément sans preuve suffisante, et toujours rappeler que la validation humaine reste obligatoire.</w:t>
      </w:r>
    </w:p>
    <w:p>
      <w:pPr>
        <w:spacing w:after="40" w:before="160"/>
      </w:pPr>
      <w:r>
        <w:rPr>
          <w:b/>
          <w:bCs/>
          <w:color w:val="B5842A"/>
          <w:sz w:val="22"/>
          <w:szCs w:val="22"/>
        </w:rPr>
        <w:t xml:space="preserve">4. </w:t>
      </w:r>
      <w:r>
        <w:rPr>
          <w:b/>
          <w:bCs/>
          <w:color w:val="163556"/>
          <w:sz w:val="22"/>
          <w:szCs w:val="22"/>
        </w:rPr>
        <w:t xml:space="preserve">Validation humaine</w:t>
      </w:r>
    </w:p>
    <w:p>
      <w:pPr>
        <w:spacing w:after="100"/>
        <w:ind w:left="360"/>
      </w:pPr>
      <w:r>
        <w:rPr>
          <w:color w:val="374151"/>
          <w:sz w:val="20"/>
          <w:szCs w:val="20"/>
        </w:rPr>
        <w:t xml:space="preserve">Le gestionnaire de flotte reçoit un e-mail avec la synthèse complète et deux boutons — Approuver / Rejeter. Aucune diffusion ni décision RH n'intervient sans ce clic humain.</w:t>
      </w:r>
    </w:p>
    <w:p>
      <w:pPr>
        <w:spacing w:after="40" w:before="160"/>
      </w:pPr>
      <w:r>
        <w:rPr>
          <w:b/>
          <w:bCs/>
          <w:color w:val="B5842A"/>
          <w:sz w:val="22"/>
          <w:szCs w:val="22"/>
        </w:rPr>
        <w:t xml:space="preserve">5. </w:t>
      </w:r>
      <w:r>
        <w:rPr>
          <w:b/>
          <w:bCs/>
          <w:color w:val="163556"/>
          <w:sz w:val="22"/>
          <w:szCs w:val="22"/>
        </w:rPr>
        <w:t xml:space="preserve">Diffusion finale</w:t>
      </w:r>
    </w:p>
    <w:p>
      <w:pPr>
        <w:spacing w:after="100"/>
        <w:ind w:left="360"/>
      </w:pPr>
      <w:r>
        <w:rPr>
          <w:color w:val="374151"/>
          <w:sz w:val="20"/>
          <w:szCs w:val="20"/>
        </w:rPr>
        <w:t xml:space="preserve">En cas d'approbation, la synthèse validée est diffusée aux destinataires prévus (flotte, HSE, audit interne). En cas de rejet, rien n'est diffusé — la démarche reste tracée.</w:t>
      </w:r>
    </w:p>
    <w:p>
      <w:pPr>
        <w:pStyle w:val="Heading1"/>
        <w:spacing w:after="160" w:before="360"/>
      </w:pPr>
      <w:r>
        <w:rPr>
          <w:b/>
          <w:bCs/>
          <w:color w:val="163556"/>
          <w:sz w:val="30"/>
          <w:szCs w:val="30"/>
        </w:rPr>
        <w:t xml:space="preserve">4. Exemple chiffré (jeu de données de démonstration)</w:t>
      </w:r>
    </w:p>
    <w:p>
      <w:pPr>
        <w:spacing w:after="160"/>
      </w:pPr>
      <w:r>
        <w:rPr>
          <w:sz w:val="21"/>
          <w:szCs w:val="21"/>
        </w:rPr>
        <w:t xml:space="preserve">Ce tableau correspond exactement aux 5 véhicules et aux seuils (40 litres ou 20 % d'écart) codés dans le workflow livré — reproductible en un clic depuis n8n.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300"/>
        <w:gridCol w:w="1300"/>
        <w:gridCol w:w="1000"/>
        <w:gridCol w:w="1300"/>
        <w:gridCol w:w="1300"/>
      </w:tblGrid>
      <w:tr>
        <w:trPr>
          <w:tblHeader/>
        </w:trPr>
        <w:tc>
          <w:tcPr>
            <w:tcW w:type="dxa" w:w="2600"/>
            <w:shd w:fill="16355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Véhicule</w:t>
            </w:r>
          </w:p>
        </w:tc>
        <w:tc>
          <w:tcPr>
            <w:tcW w:type="dxa" w:w="2600"/>
            <w:shd w:fill="16355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Site / Chauffeur</w:t>
            </w:r>
          </w:p>
        </w:tc>
        <w:tc>
          <w:tcPr>
            <w:tcW w:type="dxa" w:w="1300"/>
            <w:shd w:fill="16355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Consommé (L)</w:t>
            </w:r>
          </w:p>
        </w:tc>
        <w:tc>
          <w:tcPr>
            <w:tcW w:type="dxa" w:w="1300"/>
            <w:shd w:fill="16355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Attendu (L)</w:t>
            </w:r>
          </w:p>
        </w:tc>
        <w:tc>
          <w:tcPr>
            <w:tcW w:type="dxa" w:w="1000"/>
            <w:shd w:fill="16355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Écart</w:t>
            </w:r>
          </w:p>
        </w:tc>
        <w:tc>
          <w:tcPr>
            <w:tcW w:type="dxa" w:w="1300"/>
            <w:shd w:fill="16355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Carnet route</w:t>
            </w:r>
          </w:p>
        </w:tc>
        <w:tc>
          <w:tcPr>
            <w:tcW w:type="dxa" w:w="1300"/>
            <w:shd w:fill="16355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Sévérité</w:t>
            </w:r>
          </w:p>
        </w:tc>
      </w:tr>
      <w:tr>
        <w:tc>
          <w:tcPr>
            <w:tcW w:type="dxa" w:w="26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CI-1187-AB — Pick-up Hilux</w:t>
            </w:r>
          </w:p>
        </w:tc>
        <w:tc>
          <w:tcPr>
            <w:tcW w:type="dxa" w:w="26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Yamoussoukro — K. Ouattara</w:t>
            </w:r>
          </w:p>
        </w:tc>
        <w:tc>
          <w:tcPr>
            <w:tcW w:type="dxa" w:w="13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410</w:t>
            </w:r>
          </w:p>
        </w:tc>
        <w:tc>
          <w:tcPr>
            <w:tcW w:type="dxa" w:w="13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290</w:t>
            </w:r>
          </w:p>
        </w:tc>
        <w:tc>
          <w:tcPr>
            <w:tcW w:type="dxa" w:w="10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+41 %</w:t>
            </w:r>
          </w:p>
        </w:tc>
        <w:tc>
          <w:tcPr>
            <w:tcW w:type="dxa" w:w="13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Manquant</w:t>
            </w:r>
          </w:p>
        </w:tc>
        <w:tc>
          <w:tcPr>
            <w:tcW w:type="dxa" w:w="13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91C1C"/>
                <w:sz w:val="17"/>
                <w:szCs w:val="17"/>
              </w:rPr>
              <w:t xml:space="preserve">Élevée</w:t>
            </w:r>
          </w:p>
        </w:tc>
      </w:tr>
      <w:tr>
        <w:tc>
          <w:tcPr>
            <w:tcW w:type="dxa" w:w="26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CI-3390-EF — Berline direction</w:t>
            </w:r>
          </w:p>
        </w:tc>
        <w:tc>
          <w:tcPr>
            <w:tcW w:type="dxa" w:w="26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Abidjan Plateau — Pool direction</w:t>
            </w:r>
          </w:p>
        </w:tc>
        <w:tc>
          <w:tcPr>
            <w:tcW w:type="dxa" w:w="13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95</w:t>
            </w:r>
          </w:p>
        </w:tc>
        <w:tc>
          <w:tcPr>
            <w:tcW w:type="dxa" w:w="13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60</w:t>
            </w:r>
          </w:p>
        </w:tc>
        <w:tc>
          <w:tcPr>
            <w:tcW w:type="dxa" w:w="10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+58 %</w:t>
            </w:r>
          </w:p>
        </w:tc>
        <w:tc>
          <w:tcPr>
            <w:tcW w:type="dxa" w:w="13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Manquant</w:t>
            </w:r>
          </w:p>
        </w:tc>
        <w:tc>
          <w:tcPr>
            <w:tcW w:type="dxa" w:w="13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91C1C"/>
                <w:sz w:val="17"/>
                <w:szCs w:val="17"/>
              </w:rPr>
              <w:t xml:space="preserve">Élevée</w:t>
            </w:r>
          </w:p>
        </w:tc>
      </w:tr>
      <w:tr>
        <w:tc>
          <w:tcPr>
            <w:tcW w:type="dxa" w:w="26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CI-0765-CD — Citerne Renault</w:t>
            </w:r>
          </w:p>
        </w:tc>
        <w:tc>
          <w:tcPr>
            <w:tcW w:type="dxa" w:w="26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San Pedro — B. Kouassi</w:t>
            </w:r>
          </w:p>
        </w:tc>
        <w:tc>
          <w:tcPr>
            <w:tcW w:type="dxa" w:w="13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610</w:t>
            </w:r>
          </w:p>
        </w:tc>
        <w:tc>
          <w:tcPr>
            <w:tcW w:type="dxa" w:w="13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615</w:t>
            </w:r>
          </w:p>
        </w:tc>
        <w:tc>
          <w:tcPr>
            <w:tcW w:type="dxa" w:w="10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−0,8 %</w:t>
            </w:r>
          </w:p>
        </w:tc>
        <w:tc>
          <w:tcPr>
            <w:tcW w:type="dxa" w:w="13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Manquant</w:t>
            </w:r>
          </w:p>
        </w:tc>
        <w:tc>
          <w:tcPr>
            <w:tcW w:type="dxa" w:w="13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45309"/>
                <w:sz w:val="17"/>
                <w:szCs w:val="17"/>
              </w:rPr>
              <w:t xml:space="preserve">Moyenne</w:t>
            </w:r>
          </w:p>
        </w:tc>
      </w:tr>
      <w:tr>
        <w:tc>
          <w:tcPr>
            <w:tcW w:type="dxa" w:w="26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CI-2201-KA — Citerne Kamaz</w:t>
            </w:r>
          </w:p>
        </w:tc>
        <w:tc>
          <w:tcPr>
            <w:tcW w:type="dxa" w:w="26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Vridi — S. Diabaté</w:t>
            </w:r>
          </w:p>
        </w:tc>
        <w:tc>
          <w:tcPr>
            <w:tcW w:type="dxa" w:w="13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850</w:t>
            </w:r>
          </w:p>
        </w:tc>
        <w:tc>
          <w:tcPr>
            <w:tcW w:type="dxa" w:w="13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830</w:t>
            </w:r>
          </w:p>
        </w:tc>
        <w:tc>
          <w:tcPr>
            <w:tcW w:type="dxa" w:w="10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+2,4 %</w:t>
            </w:r>
          </w:p>
        </w:tc>
        <w:tc>
          <w:tcPr>
            <w:tcW w:type="dxa" w:w="13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Reçu</w:t>
            </w:r>
          </w:p>
        </w:tc>
        <w:tc>
          <w:tcPr>
            <w:tcW w:type="dxa" w:w="13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47857"/>
                <w:sz w:val="17"/>
                <w:szCs w:val="17"/>
              </w:rPr>
              <w:t xml:space="preserve">Aucun écart</w:t>
            </w:r>
          </w:p>
        </w:tc>
      </w:tr>
      <w:tr>
        <w:tc>
          <w:tcPr>
            <w:tcW w:type="dxa" w:w="26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CI-4456-GH — Camion benne</w:t>
            </w:r>
          </w:p>
        </w:tc>
        <w:tc>
          <w:tcPr>
            <w:tcW w:type="dxa" w:w="26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Abidjan Nord — M. Traoré</w:t>
            </w:r>
          </w:p>
        </w:tc>
        <w:tc>
          <w:tcPr>
            <w:tcW w:type="dxa" w:w="13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300</w:t>
            </w:r>
          </w:p>
        </w:tc>
        <w:tc>
          <w:tcPr>
            <w:tcW w:type="dxa" w:w="13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305</w:t>
            </w:r>
          </w:p>
        </w:tc>
        <w:tc>
          <w:tcPr>
            <w:tcW w:type="dxa" w:w="10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−1,6 %</w:t>
            </w:r>
          </w:p>
        </w:tc>
        <w:tc>
          <w:tcPr>
            <w:tcW w:type="dxa" w:w="13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Reçu</w:t>
            </w:r>
          </w:p>
        </w:tc>
        <w:tc>
          <w:tcPr>
            <w:tcW w:type="dxa" w:w="13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47857"/>
                <w:sz w:val="17"/>
                <w:szCs w:val="17"/>
              </w:rPr>
              <w:t xml:space="preserve">Aucun écart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sz w:val="21"/>
          <w:szCs w:val="21"/>
        </w:rPr>
        <w:t xml:space="preserve">Lecture pédagogique pour la formation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600"/>
      </w:tblGrid>
      <w:tr>
        <w:trPr>
          <w:tblHeader/>
        </w:trPr>
        <w:tc>
          <w:tcPr>
            <w:tcW w:type="dxa" w:w="1800"/>
            <w:shd w:fill="16355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3800"/>
            <w:shd w:fill="16355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Qui / Quoi</w:t>
            </w:r>
          </w:p>
        </w:tc>
        <w:tc>
          <w:tcPr>
            <w:tcW w:type="dxa" w:w="3600"/>
            <w:shd w:fill="16355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 qui se passe</w:t>
            </w:r>
          </w:p>
        </w:tc>
      </w:tr>
      <w:tr>
        <w:tc>
          <w:tcPr>
            <w:tcW w:type="dxa" w:w="18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Alerte</w:t>
            </w:r>
          </w:p>
        </w:tc>
        <w:tc>
          <w:tcPr>
            <w:tcW w:type="dxa" w:w="38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 workflow reçoit ou simule les données du mois (carburant relevé, kilométrage GPS, statut carnet de route) pour chaque véhicule.</w:t>
            </w:r>
          </w:p>
        </w:tc>
        <w:tc>
          <w:tcPr>
            <w:tcW w:type="dxa" w:w="36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Aucune action humaine — collecte automatique.</w:t>
            </w:r>
          </w:p>
        </w:tc>
      </w:tr>
      <w:tr>
        <w:tc>
          <w:tcPr>
            <w:tcW w:type="dxa" w:w="18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Détection d'écarts</w:t>
            </w:r>
          </w:p>
        </w:tc>
        <w:tc>
          <w:tcPr>
            <w:tcW w:type="dxa" w:w="38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 moteur de règles compare consommation relevée vs consommation attendue selon le kilométrage, et vérifie la présence du carnet de route.</w:t>
            </w:r>
          </w:p>
        </w:tc>
        <w:tc>
          <w:tcPr>
            <w:tcW w:type="dxa" w:w="36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Chaque véhicule reçoit une sévérité : élevée / moyenne / aucun écart.</w:t>
            </w:r>
          </w:p>
        </w:tc>
      </w:tr>
      <w:tr>
        <w:tc>
          <w:tcPr>
            <w:tcW w:type="dxa" w:w="18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Synthèse IA</w:t>
            </w:r>
          </w:p>
        </w:tc>
        <w:tc>
          <w:tcPr>
            <w:tcW w:type="dxa" w:w="38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GPT-4o-mini rédige un résumé exécutif structuré (ce qui a bougé, à revoir maintenant, peut attendre, à remonter au manager).</w:t>
            </w:r>
          </w:p>
        </w:tc>
        <w:tc>
          <w:tcPr>
            <w:tcW w:type="dxa" w:w="36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Texte prudent, jamais accusatoire, rappelle que la validation humaine est obligatoire.</w:t>
            </w:r>
          </w:p>
        </w:tc>
      </w:tr>
      <w:tr>
        <w:tc>
          <w:tcPr>
            <w:tcW w:type="dxa" w:w="18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Validation humaine</w:t>
            </w:r>
          </w:p>
        </w:tc>
        <w:tc>
          <w:tcPr>
            <w:tcW w:type="dxa" w:w="38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 gestionnaire de flotte reçoit un e-mail avec deux boutons : Approuver / Rejeter.</w:t>
            </w:r>
          </w:p>
        </w:tc>
        <w:tc>
          <w:tcPr>
            <w:tcW w:type="dxa" w:w="36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Aucune diffusion ni décision n'est prise sans ce clic humain.</w:t>
            </w:r>
          </w:p>
        </w:tc>
      </w:tr>
      <w:tr>
        <w:tc>
          <w:tcPr>
            <w:tcW w:type="dxa" w:w="18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Diffusion finale</w:t>
            </w:r>
          </w:p>
        </w:tc>
        <w:tc>
          <w:tcPr>
            <w:tcW w:type="dxa" w:w="38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 approuvé, la synthèse est envoyée aux destinataires prévus (flotte, HSE, audit interne).</w:t>
            </w:r>
          </w:p>
        </w:tc>
        <w:tc>
          <w:tcPr>
            <w:tcW w:type="dxa" w:w="36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 rejeté, rien n'est diffusé — traçabilité conservée.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63556"/>
          <w:sz w:val="30"/>
          <w:szCs w:val="30"/>
        </w:rPr>
        <w:t xml:space="preserve">5. Bénéfices attendus (qualitatif — à valider avec ELTON)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Détection plus rapide des surconsommations et écarts de kilométrage, avant qu'ils ne deviennent une perte financière récurrente.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Traçabilité systématique du carnet de route par véhicule, utile en cas de litige ou de contrôle interne.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Décision toujours humaine — l'IA priorise et rédige, le gestionnaire de flotte tranche.</w:t>
      </w:r>
    </w:p>
    <w:p>
      <w:pPr>
        <w:spacing w:after="160"/>
      </w:pPr>
      <w:r>
        <w:rPr>
          <w:i/>
          <w:iCs/>
          <w:color w:val="6B7280"/>
          <w:sz w:val="19"/>
          <w:szCs w:val="19"/>
        </w:rPr>
        <w:t xml:space="preserve">Aucun chiffre de gain (FCFA, %, litres économisés) n'est avancé à ce stade : sans données réelles ELTON, toute estimation serait inventée. Ce point doit être assumé tel quel pendant la formation.</w:t>
      </w:r>
    </w:p>
    <w:p>
      <w:pPr>
        <w:pStyle w:val="Heading1"/>
        <w:spacing w:after="160" w:before="360"/>
      </w:pPr>
      <w:r>
        <w:rPr>
          <w:b/>
          <w:bCs/>
          <w:color w:val="163556"/>
          <w:sz w:val="30"/>
          <w:szCs w:val="30"/>
        </w:rPr>
        <w:t xml:space="preserve">6. Feuille de route J+15 — du gabarit au cockpit réel ELTON</w:t>
      </w:r>
    </w:p>
    <w:p>
      <w:pPr>
        <w:spacing w:after="160"/>
      </w:pPr>
      <w:r>
        <w:rPr>
          <w:sz w:val="21"/>
          <w:szCs w:val="21"/>
        </w:rPr>
        <w:t xml:space="preserve">Ce module est présenté comme un point de départ honnête, pas comme un produit fini. Le tableau ci-dessous distingue ce qui est déjà démontrable aujourd'hui de ce qui reste à co-construire avec ELTON dans les 15 jours suivant la formation.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shd w:fill="0B6E4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Déjà disponible (gabarit)</w:t>
            </w:r>
          </w:p>
        </w:tc>
        <w:tc>
          <w:tcPr>
            <w:tcW w:type="dxa" w:w="4600"/>
            <w:shd w:fill="B4530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Reste à construire avec ELTON (J+15)</w:t>
            </w:r>
          </w:p>
        </w:tc>
      </w:tr>
      <w:tr>
        <w:tc>
          <w:tcPr>
            <w:tcW w:type="dxa" w:w="46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Moteur de détection d'écarts (seuil absolu + relatif, priorisation automatique)</w:t>
            </w:r>
          </w:p>
        </w:tc>
        <w:tc>
          <w:tcPr>
            <w:tcW w:type="dxa" w:w="46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Connexion réelle aux cartes carburant ELTON (relevés par véhicule)</w:t>
            </w:r>
          </w:p>
        </w:tc>
      </w:tr>
      <w:tr>
        <w:tc>
          <w:tcPr>
            <w:tcW w:type="dxa" w:w="46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Génération de synthèse IA (GPT-4o-mini) avec ton prudent et non accusatoire</w:t>
            </w:r>
          </w:p>
        </w:tc>
        <w:tc>
          <w:tcPr>
            <w:tcW w:type="dxa" w:w="46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Connexion au système GPS/télématique existant (ou à défendre son acquisition)</w:t>
            </w:r>
          </w:p>
        </w:tc>
      </w:tr>
      <w:tr>
        <w:tc>
          <w:tcPr>
            <w:tcW w:type="dxa" w:w="46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Circuit de validation humaine par e-mail (Approuver / Rejeter, aucune diffusion automatique)</w:t>
            </w:r>
          </w:p>
        </w:tc>
        <w:tc>
          <w:tcPr>
            <w:tcW w:type="dxa" w:w="46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Connexion au registre d'entretien / GMAO pour croiser échéances vs réalisé</w:t>
            </w:r>
          </w:p>
        </w:tc>
      </w:tr>
      <w:tr>
        <w:tc>
          <w:tcPr>
            <w:tcW w:type="dxa" w:w="46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Jeu de données de démonstration (5 véhicules, écarts réalistes) pour la formation</w:t>
            </w:r>
          </w:p>
        </w:tc>
        <w:tc>
          <w:tcPr>
            <w:tcW w:type="dxa" w:w="46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Calibrage des seuils (litres, %) avec la direction logistique ELTON sur données réelles</w:t>
            </w:r>
          </w:p>
        </w:tc>
      </w:tr>
      <w:tr>
        <w:tc>
          <w:tcPr>
            <w:tcW w:type="dxa" w:w="46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Structure d'e-mail HTML et destinataires (flotte / HSE / audit interne)</w:t>
            </w:r>
          </w:p>
        </w:tc>
        <w:tc>
          <w:tcPr>
            <w:tcW w:type="dxa" w:w="4600"/>
            <w:tcBorders>
              <w:top w:val="single" w:color="DBE4EE" w:sz="4"/>
              <w:left w:val="single" w:color="DBE4EE" w:sz="4"/>
              <w:bottom w:val="single" w:color="DBE4EE" w:sz="4"/>
              <w:right w:val="single" w:color="DBE4EE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 réel end-to-end avec au moins un site ELTON avant mise en production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63556"/>
          <w:sz w:val="30"/>
          <w:szCs w:val="30"/>
        </w:rPr>
        <w:t xml:space="preserve">7. Pour aller plus loin</w:t>
      </w:r>
    </w:p>
    <w:p>
      <w:pPr>
        <w:spacing w:after="160"/>
      </w:pPr>
      <w:r>
        <w:rPr>
          <w:sz w:val="21"/>
          <w:szCs w:val="21"/>
        </w:rPr>
        <w:t xml:space="preserve">Ce cas d'usage s'inscrit dans le mini-catalogue de 8 formations préparé pour ELTON OIL CI (voir Chronogramme_Formations_ELTON_OIL_CI_2026-07-21.docx) et réutilise le workflow importable 163_n8n_Demo_Gestion_Flotte_Detection_Ecarts_Validation_Humaine_21juillet2026.json, transposé du gabarit 127 (Pré-clôture bancaire, déjà en production et démontré au webinaire du 18/07/2026).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2026-07-21T14:49:53.349Z</dcterms:created>
  <dcterms:modified xsi:type="dcterms:W3CDTF">2026-07-21T14:49:53.355Z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