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b/>
          <w:bCs/>
          <w:color w:val="111827"/>
          <w:sz w:val="36"/>
          <w:szCs w:val="36"/>
        </w:rPr>
        <w:t xml:space="preserve">Note interne — 6 cas d'usage commerciaux</w:t>
      </w:r>
    </w:p>
    <w:p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Backing technique, priorisation commerciale et argumentaire pour l'équipe de vente</w:t>
      </w:r>
    </w:p>
    <w:p>
      <w:pPr>
        <w:shd w:fill="fef3c7" w:val="clear"/>
        <w:spacing w:after="100"/>
      </w:pPr>
      <w:r>
        <w:rPr>
          <w:b/>
          <w:bCs/>
          <w:color w:val="b45309"/>
          <w:sz w:val="19"/>
          <w:szCs w:val="19"/>
        </w:rPr>
        <w:t xml:space="preserve">⚠ Rappel qualité : </w:t>
      </w:r>
      <w:r>
        <w:rPr>
          <w:sz w:val="19"/>
          <w:szCs w:val="19"/>
        </w:rPr>
        <w:t xml:space="preserve">le PDF « programme_formation_ia_2026.pdf » envoyé en pièce jointe aux prospects (Email 2) affiche encore « Session 1 : 30-31 juillet » au lieu de la date corrigée 29-30 juillet. À régénérer avant tout futur envoi.</w:t>
      </w:r>
    </w:p>
    <w:p>
      <w:pPr>
        <w:spacing w:after="120"/>
      </w:pPr>
      <w:r>
        <w:rPr>
          <w:sz w:val="20"/>
          <w:szCs w:val="20"/>
        </w:rPr>
        <w:t xml:space="preserve">Ce document reprend les 6 cas d'usage du catalogue prospect (voir document séparé « Catalogue Cas d'Usage IA — Prospects ») en ajoutant, pour chacun : la démo n8n qui le prouve, sa priorité selon la matrice commerciale (41_Matrice_Priorites_Commerciales_Cas_Usage.md), l'argument de vente à utiliser et l'objection la plus probable.</w:t>
      </w:r>
    </w:p>
    <w:p>
      <w:pPr>
        <w:pBdr>
          <w:top w:val="single" w:color="1a56db" w:sz="8" w:space="6"/>
        </w:pBdr>
        <w:spacing w:after="60" w:before="300"/>
      </w:pPr>
      <w:r>
        <w:rPr>
          <w:b/>
          <w:bCs/>
          <w:color w:val="1a56db"/>
          <w:sz w:val="26"/>
          <w:szCs w:val="26"/>
        </w:rPr>
        <w:t xml:space="preserve">1. </w:t>
      </w:r>
      <w:r>
        <w:rPr>
          <w:b/>
          <w:bCs/>
          <w:color w:val="111827"/>
          <w:sz w:val="26"/>
          <w:szCs w:val="26"/>
        </w:rPr>
        <w:t xml:space="preserve">Courrier automatique avec validation humaine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Priorité commerciale : </w:t>
      </w:r>
      <w:r>
        <w:rPr>
          <w:i/>
          <w:iCs/>
          <w:color w:val="555555"/>
          <w:sz w:val="19"/>
          <w:szCs w:val="19"/>
        </w:rPr>
        <w:t xml:space="preserve">Tier 1 — assistant_direction_documentaire</w:t>
      </w:r>
    </w:p>
    <w:p>
      <w:pPr>
        <w:shd w:fill="f3f4f6" w:val="clear"/>
        <w:spacing w:after="60"/>
      </w:pPr>
      <w:r>
        <w:rPr>
          <w:b/>
          <w:bCs/>
          <w:sz w:val="19"/>
          <w:szCs w:val="19"/>
        </w:rPr>
        <w:t xml:space="preserve">Backing technique : </w:t>
      </w:r>
      <w:r>
        <w:rPr>
          <w:sz w:val="19"/>
          <w:szCs w:val="19"/>
        </w:rPr>
        <w:t xml:space="preserve">Courrier_Automatique.json (démo formation 01/07/2026) — webhook → GPT-4o → validation manager (Resend)</w:t>
      </w:r>
    </w:p>
    <w:p>
      <w:pPr>
        <w:spacing w:after="60"/>
      </w:pPr>
      <w:r>
        <w:rPr>
          <w:b/>
          <w:bCs/>
          <w:color w:val="1a56db"/>
          <w:sz w:val="19"/>
          <w:szCs w:val="19"/>
        </w:rPr>
        <w:t xml:space="preserve">Pourquoi ça vend : </w:t>
      </w:r>
      <w:r>
        <w:rPr>
          <w:sz w:val="19"/>
          <w:szCs w:val="19"/>
        </w:rPr>
        <w:t xml:space="preserve">ROI compréhensible sans jargon technique, quick win avant projets plus larges.</w:t>
      </w:r>
    </w:p>
    <w:p>
      <w:pPr>
        <w:spacing w:after="40"/>
      </w:pPr>
      <w:r>
        <w:rPr>
          <w:b/>
          <w:bCs/>
          <w:color w:val="b45309"/>
          <w:sz w:val="19"/>
          <w:szCs w:val="19"/>
        </w:rPr>
        <w:t xml:space="preserve">Objection probable : </w:t>
      </w:r>
      <w:r>
        <w:rPr>
          <w:sz w:val="19"/>
          <w:szCs w:val="19"/>
        </w:rPr>
        <w:t xml:space="preserve">« On a déjà des templates Word » → montrer le gain sur la validation multi-niveau et la traçabilité, pas juste la rédaction.</w:t>
      </w:r>
    </w:p>
    <w:p>
      <w:pPr>
        <w:pBdr>
          <w:top w:val="single" w:color="1a56db" w:sz="8" w:space="6"/>
        </w:pBdr>
        <w:spacing w:after="60" w:before="300"/>
      </w:pPr>
      <w:r>
        <w:rPr>
          <w:b/>
          <w:bCs/>
          <w:color w:val="1a56db"/>
          <w:sz w:val="26"/>
          <w:szCs w:val="26"/>
        </w:rPr>
        <w:t xml:space="preserve">2. </w:t>
      </w:r>
      <w:r>
        <w:rPr>
          <w:b/>
          <w:bCs/>
          <w:color w:val="111827"/>
          <w:sz w:val="26"/>
          <w:szCs w:val="26"/>
        </w:rPr>
        <w:t xml:space="preserve">Anonymisation PII avant tout appel 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Priorité commerciale : </w:t>
      </w:r>
      <w:r>
        <w:rPr>
          <w:i/>
          <w:iCs/>
          <w:color w:val="555555"/>
          <w:sz w:val="19"/>
          <w:szCs w:val="19"/>
        </w:rPr>
        <w:t xml:space="preserve">Brique de confiance transversale (pas un tier commercial à part — sert d'objection-killer sur tous les secteurs sensibles)</w:t>
      </w:r>
    </w:p>
    <w:p>
      <w:pPr>
        <w:shd w:fill="f3f4f6" w:val="clear"/>
        <w:spacing w:after="60"/>
      </w:pPr>
      <w:r>
        <w:rPr>
          <w:b/>
          <w:bCs/>
          <w:sz w:val="19"/>
          <w:szCs w:val="19"/>
        </w:rPr>
        <w:t xml:space="preserve">Backing technique : </w:t>
      </w:r>
      <w:r>
        <w:rPr>
          <w:sz w:val="19"/>
          <w:szCs w:val="19"/>
        </w:rPr>
        <w:t xml:space="preserve">Pseudonymisation_Securisee.json (126) : détection PII → pseudonymisation → appel IA → ré-identification locale → purge table de correspondance. Détection 100% regex locale (pas de NER LLM). Voir aussi PII_Guard_Anonymisation.json (Courrier_Automatique_v2_PII).</w:t>
      </w:r>
    </w:p>
    <w:p>
      <w:pPr>
        <w:spacing w:after="60"/>
      </w:pPr>
      <w:r>
        <w:rPr>
          <w:b/>
          <w:bCs/>
          <w:color w:val="1a56db"/>
          <w:sz w:val="19"/>
          <w:szCs w:val="19"/>
        </w:rPr>
        <w:t xml:space="preserve">Pourquoi ça vend : </w:t>
      </w:r>
      <w:r>
        <w:rPr>
          <w:sz w:val="19"/>
          <w:szCs w:val="19"/>
        </w:rPr>
        <w:t xml:space="preserve">Lève l'objection numéro 1 de tout prospect sensible : « nos données ne doivent pas sortir ». À montrer en premier dès qu'un prospect mentionne confidentialité, banque, diplomatie ou santé.</w:t>
      </w:r>
    </w:p>
    <w:p>
      <w:pPr>
        <w:spacing w:after="40"/>
      </w:pPr>
      <w:r>
        <w:rPr>
          <w:b/>
          <w:bCs/>
          <w:color w:val="b45309"/>
          <w:sz w:val="19"/>
          <w:szCs w:val="19"/>
        </w:rPr>
        <w:t xml:space="preserve">Objection probable : </w:t>
      </w:r>
      <w:r>
        <w:rPr>
          <w:sz w:val="19"/>
          <w:szCs w:val="19"/>
        </w:rPr>
        <w:t xml:space="preserve">« Comment être sûr que ça ne fuit pas ? » → montrer que la table de correspondance est purgée après ré-identification, aucune persistance de mapping PII réelle.</w:t>
      </w:r>
    </w:p>
    <w:p>
      <w:pPr>
        <w:pBdr>
          <w:top w:val="single" w:color="1a56db" w:sz="8" w:space="6"/>
        </w:pBdr>
        <w:spacing w:after="60" w:before="300"/>
      </w:pPr>
      <w:r>
        <w:rPr>
          <w:b/>
          <w:bCs/>
          <w:color w:val="1a56db"/>
          <w:sz w:val="26"/>
          <w:szCs w:val="26"/>
        </w:rPr>
        <w:t xml:space="preserve">3. </w:t>
      </w:r>
      <w:r>
        <w:rPr>
          <w:b/>
          <w:bCs/>
          <w:color w:val="111827"/>
          <w:sz w:val="26"/>
          <w:szCs w:val="26"/>
        </w:rPr>
        <w:t xml:space="preserve">Compte rendu de réunion automatique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Priorité commerciale : </w:t>
      </w:r>
      <w:r>
        <w:rPr>
          <w:i/>
          <w:iCs/>
          <w:color w:val="555555"/>
          <w:sz w:val="19"/>
          <w:szCs w:val="19"/>
        </w:rPr>
        <w:t xml:space="preserve">Tier 1 — assistant_direction_documentaire</w:t>
      </w:r>
    </w:p>
    <w:p>
      <w:pPr>
        <w:shd w:fill="f3f4f6" w:val="clear"/>
        <w:spacing w:after="60"/>
      </w:pPr>
      <w:r>
        <w:rPr>
          <w:b/>
          <w:bCs/>
          <w:sz w:val="19"/>
          <w:szCs w:val="19"/>
        </w:rPr>
        <w:t xml:space="preserve">Backing technique : </w:t>
      </w:r>
      <w:r>
        <w:rPr>
          <w:sz w:val="19"/>
          <w:szCs w:val="19"/>
        </w:rPr>
        <w:t xml:space="preserve">CR_Reunion_Automatique (V3, prod) + démo formation 122. Pipeline : Drive → Whisper → GPT-4o → validation email → archivage Drive.</w:t>
      </w:r>
    </w:p>
    <w:p>
      <w:pPr>
        <w:spacing w:after="60"/>
      </w:pPr>
      <w:r>
        <w:rPr>
          <w:b/>
          <w:bCs/>
          <w:color w:val="1a56db"/>
          <w:sz w:val="19"/>
          <w:szCs w:val="19"/>
        </w:rPr>
        <w:t xml:space="preserve">Pourquoi ça vend : </w:t>
      </w:r>
      <w:r>
        <w:rPr>
          <w:sz w:val="19"/>
          <w:szCs w:val="19"/>
        </w:rPr>
        <w:t xml:space="preserve">Démonstration très simple, bénéfice visible dès la première semaine.</w:t>
      </w:r>
    </w:p>
    <w:p>
      <w:pPr>
        <w:spacing w:after="40"/>
      </w:pPr>
      <w:r>
        <w:rPr>
          <w:b/>
          <w:bCs/>
          <w:color w:val="b45309"/>
          <w:sz w:val="19"/>
          <w:szCs w:val="19"/>
        </w:rPr>
        <w:t xml:space="preserve">Objection probable : </w:t>
      </w:r>
      <w:r>
        <w:rPr>
          <w:sz w:val="19"/>
          <w:szCs w:val="19"/>
        </w:rPr>
        <w:t xml:space="preserve">« Nos réunions sont confidentielles » → combiner avec le cas 2 (anonymisation) si besoin, ou insister sur le stockage local Google Drive du client.</w:t>
      </w:r>
    </w:p>
    <w:p>
      <w:pPr>
        <w:pBdr>
          <w:top w:val="single" w:color="1a56db" w:sz="8" w:space="6"/>
        </w:pBdr>
        <w:spacing w:after="60" w:before="300"/>
      </w:pPr>
      <w:r>
        <w:rPr>
          <w:b/>
          <w:bCs/>
          <w:color w:val="1a56db"/>
          <w:sz w:val="26"/>
          <w:szCs w:val="26"/>
        </w:rPr>
        <w:t xml:space="preserve">4. </w:t>
      </w:r>
      <w:r>
        <w:rPr>
          <w:b/>
          <w:bCs/>
          <w:color w:val="111827"/>
          <w:sz w:val="26"/>
          <w:szCs w:val="26"/>
        </w:rPr>
        <w:t xml:space="preserve">Recherche documentaire intelligente (RAG)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Priorité commerciale : </w:t>
      </w:r>
      <w:r>
        <w:rPr>
          <w:i/>
          <w:iCs/>
          <w:color w:val="555555"/>
          <w:sz w:val="19"/>
          <w:szCs w:val="19"/>
        </w:rPr>
        <w:t xml:space="preserve">Tier 3 pour juridique/veille, mais utile en support du cas 6 (KYC) et de la GED (Tier 1 administration)</w:t>
      </w:r>
    </w:p>
    <w:p>
      <w:pPr>
        <w:shd w:fill="f3f4f6" w:val="clear"/>
        <w:spacing w:after="60"/>
      </w:pPr>
      <w:r>
        <w:rPr>
          <w:b/>
          <w:bCs/>
          <w:sz w:val="19"/>
          <w:szCs w:val="19"/>
        </w:rPr>
        <w:t xml:space="preserve">Backing technique : </w:t>
      </w:r>
      <w:r>
        <w:rPr>
          <w:sz w:val="19"/>
          <w:szCs w:val="19"/>
        </w:rPr>
        <w:t xml:space="preserve">Recherche_Documentaire_RAG.json (124) : embedding question → recherche vectorielle Supabase → réponse IA sourcée → log Supabase.</w:t>
      </w:r>
    </w:p>
    <w:p>
      <w:pPr>
        <w:spacing w:after="60"/>
      </w:pPr>
      <w:r>
        <w:rPr>
          <w:b/>
          <w:bCs/>
          <w:color w:val="1a56db"/>
          <w:sz w:val="19"/>
          <w:szCs w:val="19"/>
        </w:rPr>
        <w:t xml:space="preserve">Pourquoi ça vend : </w:t>
      </w:r>
      <w:r>
        <w:rPr>
          <w:sz w:val="19"/>
          <w:szCs w:val="19"/>
        </w:rPr>
        <w:t xml:space="preserve">Très démontrable en live avec les propres documents du prospect si possible (effet wahou).</w:t>
      </w:r>
    </w:p>
    <w:p>
      <w:pPr>
        <w:spacing w:after="40"/>
      </w:pPr>
      <w:r>
        <w:rPr>
          <w:b/>
          <w:bCs/>
          <w:color w:val="b45309"/>
          <w:sz w:val="19"/>
          <w:szCs w:val="19"/>
        </w:rPr>
        <w:t xml:space="preserve">Objection probable : </w:t>
      </w:r>
      <w:r>
        <w:rPr>
          <w:sz w:val="19"/>
          <w:szCs w:val="19"/>
        </w:rPr>
        <w:t xml:space="preserve">« Et si l'IA invente une réponse ? » → insister sur les sources citées et le fait que la réponse s'appuie uniquement sur les documents indexés, pas sur la connaissance générale du modèle.</w:t>
      </w:r>
    </w:p>
    <w:p>
      <w:pPr>
        <w:pBdr>
          <w:top w:val="single" w:color="1a56db" w:sz="8" w:space="6"/>
        </w:pBdr>
        <w:spacing w:after="60" w:before="300"/>
      </w:pPr>
      <w:r>
        <w:rPr>
          <w:b/>
          <w:bCs/>
          <w:color w:val="1a56db"/>
          <w:sz w:val="26"/>
          <w:szCs w:val="26"/>
        </w:rPr>
        <w:t xml:space="preserve">5. </w:t>
      </w:r>
      <w:r>
        <w:rPr>
          <w:b/>
          <w:bCs/>
          <w:color w:val="111827"/>
          <w:sz w:val="26"/>
          <w:szCs w:val="26"/>
        </w:rPr>
        <w:t xml:space="preserve">Traduction officielle bilingue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Priorité commerciale : </w:t>
      </w:r>
      <w:r>
        <w:rPr>
          <w:i/>
          <w:iCs/>
          <w:color w:val="555555"/>
          <w:sz w:val="19"/>
          <w:szCs w:val="19"/>
        </w:rPr>
        <w:t xml:space="preserve">Tier 3 — Diplomatie &amp; Affaires Internationales (marché institutionnel, cycle plus long)</w:t>
      </w:r>
    </w:p>
    <w:p>
      <w:pPr>
        <w:shd w:fill="f3f4f6" w:val="clear"/>
        <w:spacing w:after="60"/>
      </w:pPr>
      <w:r>
        <w:rPr>
          <w:b/>
          <w:bCs/>
          <w:sz w:val="19"/>
          <w:szCs w:val="19"/>
        </w:rPr>
        <w:t xml:space="preserve">Backing technique : </w:t>
      </w:r>
      <w:r>
        <w:rPr>
          <w:sz w:val="19"/>
          <w:szCs w:val="19"/>
        </w:rPr>
        <w:t xml:space="preserve">Traduction_Officielle.json (125) : traduction Claude/GPT-4o → relecture qualité automatisée → document bilingue assemblé.</w:t>
      </w:r>
    </w:p>
    <w:p>
      <w:pPr>
        <w:spacing w:after="60"/>
      </w:pPr>
      <w:r>
        <w:rPr>
          <w:b/>
          <w:bCs/>
          <w:color w:val="1a56db"/>
          <w:sz w:val="19"/>
          <w:szCs w:val="19"/>
        </w:rPr>
        <w:t xml:space="preserve">Pourquoi ça vend : </w:t>
      </w:r>
      <w:r>
        <w:rPr>
          <w:sz w:val="19"/>
          <w:szCs w:val="19"/>
        </w:rPr>
        <w:t xml:space="preserve">Marché de niche mais différenciant fort — peu de concurrents locaux proposent une démo fonctionnelle sur ce cas.</w:t>
      </w:r>
    </w:p>
    <w:p>
      <w:pPr>
        <w:spacing w:after="40"/>
      </w:pPr>
      <w:r>
        <w:rPr>
          <w:b/>
          <w:bCs/>
          <w:color w:val="b45309"/>
          <w:sz w:val="19"/>
          <w:szCs w:val="19"/>
        </w:rPr>
        <w:t xml:space="preserve">Objection probable : </w:t>
      </w:r>
      <w:r>
        <w:rPr>
          <w:sz w:val="19"/>
          <w:szCs w:val="19"/>
        </w:rPr>
        <w:t xml:space="preserve">Cycle de vente long — ne pas pousser en premier, réserver aux prospects déjà qualifiés diplomatie/institutions.</w:t>
      </w:r>
    </w:p>
    <w:p>
      <w:pPr>
        <w:pBdr>
          <w:top w:val="single" w:color="1a56db" w:sz="8" w:space="6"/>
        </w:pBdr>
        <w:spacing w:after="60" w:before="300"/>
      </w:pPr>
      <w:r>
        <w:rPr>
          <w:b/>
          <w:bCs/>
          <w:color w:val="1a56db"/>
          <w:sz w:val="26"/>
          <w:szCs w:val="26"/>
        </w:rPr>
        <w:t xml:space="preserve">6. </w:t>
      </w:r>
      <w:r>
        <w:rPr>
          <w:b/>
          <w:bCs/>
          <w:color w:val="111827"/>
          <w:sz w:val="26"/>
          <w:szCs w:val="26"/>
        </w:rPr>
        <w:t xml:space="preserve">Dossier de crédit / KYC + veille réglementaire BCEAO-UEMOA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Priorité commerciale : </w:t>
      </w:r>
      <w:r>
        <w:rPr>
          <w:i/>
          <w:iCs/>
          <w:color w:val="555555"/>
          <w:sz w:val="19"/>
          <w:szCs w:val="19"/>
        </w:rPr>
        <w:t xml:space="preserve">Tier 2 — Finance &amp; Comptabilité (cas sectoriel stratégique banque_kyc_reporting, cf. 41_Matrice_Priorites_Commerciales_Cas_Usage.md)</w:t>
      </w:r>
    </w:p>
    <w:p>
      <w:pPr>
        <w:shd w:fill="f3f4f6" w:val="clear"/>
        <w:spacing w:after="60"/>
      </w:pPr>
      <w:r>
        <w:rPr>
          <w:b/>
          <w:bCs/>
          <w:sz w:val="19"/>
          <w:szCs w:val="19"/>
        </w:rPr>
        <w:t xml:space="preserve">Backing technique : </w:t>
      </w:r>
      <w:r>
        <w:rPr>
          <w:sz w:val="19"/>
          <w:szCs w:val="19"/>
        </w:rPr>
        <w:t xml:space="preserve">Combine le cas 2 (Pseudonymisation) + synthèse dossier (à construire sur le même schéma que Courrier_Automatique) + le pipeline de veille réglementaire déjà en production (guide opératoire 31, feed public /veille-reglementaire-ia, tags BCEAO/UEMOA/ARTCI).</w:t>
      </w:r>
    </w:p>
    <w:p>
      <w:pPr>
        <w:spacing w:after="60"/>
      </w:pPr>
      <w:r>
        <w:rPr>
          <w:b/>
          <w:bCs/>
          <w:color w:val="1a56db"/>
          <w:sz w:val="19"/>
          <w:szCs w:val="19"/>
        </w:rPr>
        <w:t xml:space="preserve">Pourquoi ça vend : </w:t>
      </w:r>
      <w:r>
        <w:rPr>
          <w:sz w:val="19"/>
          <w:szCs w:val="19"/>
        </w:rPr>
        <w:t xml:space="preserve">ROI concret mais cycle de validation plus prudent (remarque de la matrice commerciale) — prévoir un cycle de vente plus long qu'IT/Service Client. Le feed de veille réglementaire est un différenciateur local unique.</w:t>
      </w:r>
    </w:p>
    <w:p>
      <w:pPr>
        <w:spacing w:after="40"/>
      </w:pPr>
      <w:r>
        <w:rPr>
          <w:b/>
          <w:bCs/>
          <w:color w:val="b45309"/>
          <w:sz w:val="19"/>
          <w:szCs w:val="19"/>
        </w:rPr>
        <w:t xml:space="preserve">Objection probable : </w:t>
      </w:r>
      <w:r>
        <w:rPr>
          <w:sz w:val="19"/>
          <w:szCs w:val="19"/>
        </w:rPr>
        <w:t xml:space="preserve">« Nos données clients sont ultra-sensibles » → mener systématiquement avec le cas 2 en premier ; « le comité de crédit doit rester souverain » → insister sur la validation humaine obligatoire avant tout envoi.</w:t>
      </w:r>
    </w:p>
    <w:p>
      <w:pPr>
        <w:pBdr>
          <w:top w:val="single" w:color="1a56db" w:sz="8" w:space="6"/>
        </w:pBdr>
        <w:spacing w:after="100" w:before="320"/>
      </w:pPr>
      <w:r>
        <w:rPr>
          <w:b/>
          <w:bCs/>
          <w:color w:val="1a56db"/>
          <w:sz w:val="24"/>
          <w:szCs w:val="24"/>
        </w:rPr>
        <w:t xml:space="preserve">Séquence commerciale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7360"/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 Audit express IA métier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Identifier le cas d'usage prioritaire selon le tier et le secteur du prospect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 Bootcamp métier IA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Formation 2 jours — démontrer les cas transversaux 1 à 4 en live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3. Pilote workflow/assistant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Déployer le cas d'usage retenu sur un périmètre réduit et mesurable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4. Déploiement élargi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Étendre selon les résultats du pilote, packager en offre récurrente</w:t>
            </w:r>
          </w:p>
        </w:tc>
      </w:tr>
    </w:tbl>
    <w:p>
      <w:pPr>
        <w:spacing w:after="60" w:before="240"/>
      </w:pPr>
      <w:r>
        <w:rPr>
          <w:b/>
          <w:bCs/>
          <w:sz w:val="20"/>
          <w:szCs w:val="20"/>
        </w:rPr>
        <w:t xml:space="preserve">Règle directrice (matrice commerciale) : </w:t>
      </w:r>
      <w:r>
        <w:rPr>
          <w:sz w:val="20"/>
          <w:szCs w:val="20"/>
        </w:rPr>
        <w:t xml:space="preserve">toujours pousser en priorité un cas d'usage Tier 1, n'activer un cas sectoriel (5 ou 6) que si le contexte du prospect le justifie, et formuler un seul appel à l'action principal par échange.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TransferAI Nettelecom CI — Document interne — Mise à jour 2026-07-03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45309"/>
        <w:sz w:val="18"/>
        <w:szCs w:val="18"/>
      </w:rPr>
      <w:t xml:space="preserve">USAGE INTERNE UNIQUEMENT — Ne pas diffuser aux prospects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2026-07-03T16:49:12.481Z</dcterms:created>
  <dcterms:modified xsi:type="dcterms:W3CDTF">2026-07-03T16:49:12.482Z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