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6"/>
          <w:sz-cs w:val="56"/>
          <w:b/>
          <w:spacing w:val="0"/>
          <w:color w:val="0F3A6E"/>
        </w:rPr>
        <w:t xml:space="preserve">Guide utilisateur de référence</w:t>
      </w:r>
    </w:p>
    <w:p>
      <w:pPr>
        <w:spacing w:after="213"/>
      </w:pPr>
      <w:r>
        <w:rPr>
          <w:rFonts w:ascii="Helvetica" w:hAnsi="Helvetica" w:cs="Helvetica"/>
          <w:sz w:val="29"/>
          <w:sz-cs w:val="29"/>
          <w:b/>
          <w:spacing w:val="0"/>
          <w:color w:val="181E2A"/>
        </w:rPr>
        <w:t xml:space="preserve">Programme :</w:t>
      </w:r>
      <w:r>
        <w:rPr>
          <w:rFonts w:ascii="Helvetica" w:hAnsi="Helvetica" w:cs="Helvetica"/>
          <w:sz w:val="29"/>
          <w:sz-cs w:val="29"/>
          <w:spacing w:val="0"/>
          <w:color w:val="181E2A"/>
        </w:rPr>
        <w:t xml:space="preserve"> écosystème de prospection, qualification, validation et envoi TransferAI</w:t>
      </w:r>
    </w:p>
    <w:p>
      <w:pPr>
        <w:spacing w:after="213"/>
      </w:pPr>
      <w:r>
        <w:rPr>
          <w:rFonts w:ascii="Helvetica" w:hAnsi="Helvetica" w:cs="Helvetica"/>
          <w:sz w:val="29"/>
          <w:sz-cs w:val="29"/>
          <w:b/>
          <w:spacing w:val="0"/>
          <w:color w:val="181E2A"/>
        </w:rPr>
        <w:t xml:space="preserve">Version consolidée :</w:t>
      </w:r>
      <w:r>
        <w:rPr>
          <w:rFonts w:ascii="Helvetica" w:hAnsi="Helvetica" w:cs="Helvetica"/>
          <w:sz w:val="29"/>
          <w:sz-cs w:val="29"/>
          <w:spacing w:val="0"/>
          <w:color w:val="181E2A"/>
        </w:rPr>
        <w:t xml:space="preserve"> 2 juin 2026</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Portée :</w:t>
      </w:r>
      <w:r>
        <w:rPr>
          <w:rFonts w:ascii="Helvetica" w:hAnsi="Helvetica" w:cs="Helvetica"/>
          <w:sz w:val="29"/>
          <w:sz-cs w:val="29"/>
          <w:spacing w:val="0"/>
          <w:color w:val="181E2A"/>
        </w:rPr>
        <w:t xml:space="preserve"> ce document fusionne les guides utilisateur, administrateur, batch CRM et exploitation n8n créés depuis le début du projet jusqu’à la stabilisation actuelle.</w:t>
      </w:r>
      <w:r>
        <w:rPr>
          <w:rFonts w:ascii="Helvetica" w:hAnsi="Helvetica" w:cs="Helvetica"/>
          <w:sz w:val="29"/>
          <w:sz-cs w:val="29"/>
          <w:spacing w:val="0"/>
          <w:color w:val="181E2A"/>
        </w:rPr>
        <w:t xml:space="preserve"/>
      </w:r>
    </w:p>
    <w:p>
      <w:pPr>
        <w:spacing w:after="213"/>
      </w:pPr>
      <w:r>
        <w:rPr>
          <w:rFonts w:ascii="Helvetica" w:hAnsi="Helvetica" w:cs="Helvetica"/>
          <w:sz w:val="29"/>
          <w:sz-cs w:val="29"/>
          <w:b/>
          <w:spacing w:val="0"/>
          <w:color w:val="181E2A"/>
        </w:rPr>
        <w:t xml:space="preserve">Finalité :</w:t>
      </w:r>
      <w:r>
        <w:rPr>
          <w:rFonts w:ascii="Helvetica" w:hAnsi="Helvetica" w:cs="Helvetica"/>
          <w:sz w:val="29"/>
          <w:sz-cs w:val="29"/>
          <w:spacing w:val="0"/>
          <w:color w:val="181E2A"/>
        </w:rPr>
        <w:t xml:space="preserve"> donner un document unique pour comprendre le dispositif, l’utiliser au quotidien, préparer un envoi prospect, maintenir les bons secrets et savoir quel workflow joue quel rôle.</w:t>
      </w:r>
      <w:r>
        <w:rPr>
          <w:rFonts w:ascii="Helvetica" w:hAnsi="Helvetica" w:cs="Helvetica"/>
          <w:sz w:val="29"/>
          <w:sz-cs w:val="29"/>
          <w:spacing w:val="0"/>
          <w:color w:val="181E2A"/>
        </w:rPr>
        <w:t xml:space="preserve"/>
      </w:r>
    </w:p>
    <w:p>
      <w:pPr>
        <w:spacing w:after="160"/>
      </w:pPr>
      <w:r>
        <w:rPr>
          <w:rFonts w:ascii="Helvetica" w:hAnsi="Helvetica" w:cs="Helvetica"/>
          <w:sz w:val="37"/>
          <w:sz-cs w:val="37"/>
          <w:b/>
          <w:spacing w:val="0"/>
          <w:color w:val="0F3A6E"/>
        </w:rPr>
        <w:t xml:space="preserve">1. Objet et perimetre</w:t>
      </w:r>
    </w:p>
    <w:p>
      <w:pPr>
        <w:spacing w:after="213"/>
      </w:pPr>
      <w:r>
        <w:rPr>
          <w:rFonts w:ascii="Helvetica" w:hAnsi="Helvetica" w:cs="Helvetica"/>
          <w:sz w:val="29"/>
          <w:sz-cs w:val="29"/>
          <w:spacing w:val="0"/>
          <w:color w:val="181E2A"/>
        </w:rPr>
        <w:t xml:space="preserve">Le systeme TransferAI ne se limite pas a un simple workflow n8n. Il s agit d une chaine complete qui couvre :</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collecte de signaux publics sur les prospects,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protection des donnees avant appel LLM,</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generation de livrables commerciaux,</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validation interne par email,</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 envoi prospect apres approbation,</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croissance CRM,</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back-office de contenu et d operations,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les integrations Supabase, Resend, Twilio, Chatwoot et Cloudflare.</w:t>
      </w:r>
    </w:p>
    <w:p>
      <w:pPr>
        <w:spacing w:after="213"/>
      </w:pPr>
      <w:r>
        <w:rPr>
          <w:rFonts w:ascii="Helvetica" w:hAnsi="Helvetica" w:cs="Helvetica"/>
          <w:sz w:val="29"/>
          <w:sz-cs w:val="29"/>
          <w:spacing w:val="0"/>
          <w:color w:val="181E2A"/>
        </w:rPr>
        <w:t xml:space="preserve">Ce guide couvre les usages reels et les decisions structurelles valides a date. Il sert de reference utilisateur pour la V3, mais aussi de point d entree pour comprendre la logique V1, V2, V4 et V5.</w:t>
      </w:r>
    </w:p>
    <w:p>
      <w:pPr>
        <w:spacing w:after="160"/>
      </w:pPr>
      <w:r>
        <w:rPr>
          <w:rFonts w:ascii="Helvetica" w:hAnsi="Helvetica" w:cs="Helvetica"/>
          <w:sz w:val="37"/>
          <w:sz-cs w:val="37"/>
          <w:b/>
          <w:spacing w:val="0"/>
          <w:color w:val="0F3A6E"/>
        </w:rPr>
        <w:t xml:space="preserve">2. Evolution du dispositif de prospection</w:t>
      </w:r>
    </w:p>
    <w:p>
      <w:pPr/>
      <w:r>
        <w:rPr>
          <w:rFonts w:ascii="Helvetica" w:hAnsi="Helvetica" w:cs="Helvetica"/>
          <w:sz w:val="29"/>
          <w:sz-cs w:val="29"/>
          <w:b/>
          <w:spacing w:val="0"/>
          <w:color w:val="181E2A"/>
        </w:rPr>
        <w:t xml:space="preserve">Version</w:t>
      </w:r>
    </w:p>
    <w:p>
      <w:pPr/>
      <w:r>
        <w:rPr>
          <w:rFonts w:ascii="Helvetica" w:hAnsi="Helvetica" w:cs="Helvetica"/>
          <w:sz w:val="29"/>
          <w:sz-cs w:val="29"/>
          <w:b/>
          <w:spacing w:val="0"/>
          <w:color w:val="181E2A"/>
        </w:rPr>
        <w:t xml:space="preserve">Role principal</w:t>
      </w:r>
    </w:p>
    <w:p>
      <w:pPr/>
      <w:r>
        <w:rPr>
          <w:rFonts w:ascii="Helvetica" w:hAnsi="Helvetica" w:cs="Helvetica"/>
          <w:sz w:val="29"/>
          <w:sz-cs w:val="29"/>
          <w:b/>
          <w:spacing w:val="0"/>
          <w:color w:val="181E2A"/>
        </w:rPr>
        <w:t xml:space="preserve">Statut conceptuel</w:t>
      </w:r>
    </w:p>
    <w:p>
      <w:pPr/>
      <w:r>
        <w:rPr>
          <w:rFonts w:ascii="Helvetica" w:hAnsi="Helvetica" w:cs="Helvetica"/>
          <w:sz w:val="29"/>
          <w:sz-cs w:val="29"/>
          <w:spacing w:val="0"/>
          <w:color w:val="181E2A"/>
        </w:rPr>
        <w:t xml:space="preserve">V1</w:t>
      </w:r>
    </w:p>
    <w:p>
      <w:pPr/>
      <w:r>
        <w:rPr>
          <w:rFonts w:ascii="Helvetica" w:hAnsi="Helvetica" w:cs="Helvetica"/>
          <w:sz w:val="29"/>
          <w:sz-cs w:val="29"/>
          <w:spacing w:val="0"/>
          <w:color w:val="181E2A"/>
        </w:rPr>
        <w:t xml:space="preserve">Generation manuelle d un pack prospect a partir du scraping public et des appels LLM</w:t>
      </w:r>
    </w:p>
    <w:p>
      <w:pPr/>
      <w:r>
        <w:rPr>
          <w:rFonts w:ascii="Helvetica" w:hAnsi="Helvetica" w:cs="Helvetica"/>
          <w:sz w:val="29"/>
          <w:sz-cs w:val="29"/>
          <w:spacing w:val="0"/>
          <w:color w:val="181E2A"/>
        </w:rPr>
        <w:t xml:space="preserve">Base fondatrice</w:t>
      </w:r>
    </w:p>
    <w:p>
      <w:pPr/>
      <w:r>
        <w:rPr>
          <w:rFonts w:ascii="Helvetica" w:hAnsi="Helvetica" w:cs="Helvetica"/>
          <w:sz w:val="29"/>
          <w:sz-cs w:val="29"/>
          <w:spacing w:val="0"/>
          <w:color w:val="181E2A"/>
        </w:rPr>
        <w:t xml:space="preserve">V2</w:t>
      </w:r>
    </w:p>
    <w:p>
      <w:pPr/>
      <w:r>
        <w:rPr>
          <w:rFonts w:ascii="Helvetica" w:hAnsi="Helvetica" w:cs="Helvetica"/>
          <w:sz w:val="29"/>
          <w:sz-cs w:val="29"/>
          <w:spacing w:val="0"/>
          <w:color w:val="181E2A"/>
        </w:rPr>
        <w:t xml:space="preserve">Sauvegarde Supabase, email d approbation interne, webhook d approbation, envoi prospect</w:t>
      </w:r>
    </w:p>
    <w:p>
      <w:pPr/>
      <w:r>
        <w:rPr>
          <w:rFonts w:ascii="Helvetica" w:hAnsi="Helvetica" w:cs="Helvetica"/>
          <w:sz w:val="29"/>
          <w:sz-cs w:val="29"/>
          <w:spacing w:val="0"/>
          <w:color w:val="181E2A"/>
        </w:rPr>
        <w:t xml:space="preserve">Premiere boucle complete de validation</w:t>
      </w:r>
    </w:p>
    <w:p>
      <w:pPr/>
      <w:r>
        <w:rPr>
          <w:rFonts w:ascii="Helvetica" w:hAnsi="Helvetica" w:cs="Helvetica"/>
          <w:sz w:val="29"/>
          <w:sz-cs w:val="29"/>
          <w:spacing w:val="0"/>
          <w:color w:val="181E2A"/>
        </w:rPr>
        <w:t xml:space="preserve">V3</w:t>
      </w:r>
    </w:p>
    <w:p>
      <w:pPr/>
      <w:r>
        <w:rPr>
          <w:rFonts w:ascii="Helvetica" w:hAnsi="Helvetica" w:cs="Helvetica"/>
          <w:sz w:val="29"/>
          <w:sz-cs w:val="29"/>
          <w:spacing w:val="0"/>
          <w:color w:val="181E2A"/>
        </w:rPr>
        <w:t xml:space="preserve">Version CRM enhanced avec livrables plus riches, audit en ligne, catalogue genere par pack et stabilisation des noeuds critiques</w:t>
      </w:r>
    </w:p>
    <w:p>
      <w:pPr/>
      <w:r>
        <w:rPr>
          <w:rFonts w:ascii="Helvetica" w:hAnsi="Helvetica" w:cs="Helvetica"/>
          <w:sz w:val="29"/>
          <w:sz-cs w:val="29"/>
          <w:spacing w:val="0"/>
          <w:color w:val="181E2A"/>
        </w:rPr>
        <w:t xml:space="preserve">Flux operable de reference</w:t>
      </w:r>
    </w:p>
    <w:p>
      <w:pPr/>
      <w:r>
        <w:rPr>
          <w:rFonts w:ascii="Helvetica" w:hAnsi="Helvetica" w:cs="Helvetica"/>
          <w:sz w:val="29"/>
          <w:sz-cs w:val="29"/>
          <w:spacing w:val="0"/>
          <w:color w:val="181E2A"/>
        </w:rPr>
        <w:t xml:space="preserve">V4</w:t>
      </w:r>
    </w:p>
    <w:p>
      <w:pPr/>
      <w:r>
        <w:rPr>
          <w:rFonts w:ascii="Helvetica" w:hAnsi="Helvetica" w:cs="Helvetica"/>
          <w:sz w:val="29"/>
          <w:sz-cs w:val="29"/>
          <w:spacing w:val="0"/>
          <w:color w:val="181E2A"/>
        </w:rPr>
        <w:t xml:space="preserve">Batch et quotas d envoi, regles d arret, arbitrage du volume journalier</w:t>
      </w:r>
    </w:p>
    <w:p>
      <w:pPr/>
      <w:r>
        <w:rPr>
          <w:rFonts w:ascii="Helvetica" w:hAnsi="Helvetica" w:cs="Helvetica"/>
          <w:sz w:val="29"/>
          <w:sz-cs w:val="29"/>
          <w:spacing w:val="0"/>
          <w:color w:val="181E2A"/>
        </w:rPr>
        <w:t xml:space="preserve">Couche de gouvernance commerciale</w:t>
      </w:r>
    </w:p>
    <w:p>
      <w:pPr/>
      <w:r>
        <w:rPr>
          <w:rFonts w:ascii="Helvetica" w:hAnsi="Helvetica" w:cs="Helvetica"/>
          <w:sz w:val="29"/>
          <w:sz-cs w:val="29"/>
          <w:spacing w:val="0"/>
          <w:color w:val="181E2A"/>
        </w:rPr>
        <w:t xml:space="preserve">V5</w:t>
      </w:r>
    </w:p>
    <w:p>
      <w:pPr/>
      <w:r>
        <w:rPr>
          <w:rFonts w:ascii="Helvetica" w:hAnsi="Helvetica" w:cs="Helvetica"/>
          <w:sz w:val="29"/>
          <w:sz-cs w:val="29"/>
          <w:spacing w:val="0"/>
          <w:color w:val="181E2A"/>
        </w:rPr>
        <w:t xml:space="preserve">Growth loop CRM, ingestion continue des leads publics et alimentation de </w:t>
      </w:r>
      <w:r>
        <w:rPr>
          <w:rFonts w:ascii="Menlo" w:hAnsi="Menlo" w:cs="Menlo"/>
          <w:sz w:val="25"/>
          <w:sz-cs w:val="25"/>
          <w:spacing w:val="0"/>
          <w:color w:val="181E2A"/>
        </w:rPr>
        <w:t xml:space="preserve">prospect_targets</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Couche amont de croissance</w:t>
      </w:r>
    </w:p>
    <w:p>
      <w:pPr/>
      <w:r>
        <w:rPr>
          <w:rFonts w:ascii="Helvetica" w:hAnsi="Helvetica" w:cs="Helvetica"/>
          <w:sz w:val="29"/>
          <w:sz-cs w:val="29"/>
          <w:b/>
          <w:spacing w:val="0"/>
          <w:color w:val="181E2A"/>
        </w:rPr>
        <w:t xml:space="preserve">Lecture simple :</w:t>
      </w:r>
      <w:r>
        <w:rPr>
          <w:rFonts w:ascii="Helvetica" w:hAnsi="Helvetica" w:cs="Helvetica"/>
          <w:sz w:val="29"/>
          <w:sz-cs w:val="29"/>
          <w:spacing w:val="0"/>
          <w:color w:val="181E2A"/>
        </w:rPr>
        <w:t xml:space="preserve"> V5 fait entrer les societes dans le CRM, V4 choisit lesquelles traiter, V3 fabrique le pack prospect et l envoie apres approbation.</w:t>
      </w:r>
    </w:p>
    <w:p>
      <w:pPr>
        <w:spacing w:after="160"/>
      </w:pPr>
      <w:r>
        <w:rPr>
          <w:rFonts w:ascii="Helvetica" w:hAnsi="Helvetica" w:cs="Helvetica"/>
          <w:sz w:val="37"/>
          <w:sz-cs w:val="37"/>
          <w:b/>
          <w:spacing w:val="0"/>
          <w:color w:val="0F3A6E"/>
        </w:rPr>
        <w:t xml:space="preserve">3. Architecture cible actuellement validée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Audit :</w:t>
      </w:r>
      <w:r>
        <w:rPr>
          <w:rFonts w:ascii="Helvetica" w:hAnsi="Helvetica" w:cs="Helvetica"/>
          <w:sz w:val="29"/>
          <w:sz-cs w:val="29"/>
          <w:spacing w:val="0"/>
          <w:color w:val="181E2A"/>
        </w:rPr>
        <w:t xml:space="preserve"> formulaire en ligne via </w:t>
      </w:r>
      <w:r>
        <w:rPr>
          <w:rFonts w:ascii="Menlo" w:hAnsi="Menlo" w:cs="Menlo"/>
          <w:sz w:val="25"/>
          <w:sz-cs w:val="25"/>
          <w:spacing w:val="0"/>
          <w:color w:val="181E2A"/>
        </w:rPr>
        <w:t xml:space="preserve">audit.transferai.ci</w:t>
      </w:r>
      <w:r>
        <w:rPr>
          <w:rFonts w:ascii="Helvetica" w:hAnsi="Helvetica" w:cs="Helvetica"/>
          <w:sz w:val="29"/>
          <w:sz-cs w:val="29"/>
          <w:spacing w:val="0"/>
          <w:color w:val="181E2A"/>
        </w:rPr>
        <w:t xml:space="preserve">, sans pièce jointe.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Catalogue :</w:t>
      </w:r>
      <w:r>
        <w:rPr>
          <w:rFonts w:ascii="Helvetica" w:hAnsi="Helvetica" w:cs="Helvetica"/>
          <w:sz w:val="29"/>
          <w:sz-cs w:val="29"/>
          <w:spacing w:val="0"/>
          <w:color w:val="181E2A"/>
        </w:rPr>
        <w:t xml:space="preserve"> génération dynamique par pack via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stockage dans Supabase Storage, PDF et DOCX produits par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Deck :</w:t>
      </w:r>
      <w:r>
        <w:rPr>
          <w:rFonts w:ascii="Helvetica" w:hAnsi="Helvetica" w:cs="Helvetica"/>
          <w:sz w:val="29"/>
          <w:sz-cs w:val="29"/>
          <w:spacing w:val="0"/>
          <w:color w:val="181E2A"/>
        </w:rPr>
        <w:t xml:space="preserve"> phase 1 PPTX active via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génération d’un fichier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par pack, stockage dans Supabase Storage et réinjection de l’artefact dans le payload V3.</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Validation :</w:t>
      </w:r>
      <w:r>
        <w:rPr>
          <w:rFonts w:ascii="Helvetica" w:hAnsi="Helvetica" w:cs="Helvetica"/>
          <w:sz w:val="29"/>
          <w:sz-cs w:val="29"/>
          <w:spacing w:val="0"/>
          <w:color w:val="181E2A"/>
        </w:rPr>
        <w:t xml:space="preserve"> approbation interne par email avec liens </w:t>
      </w:r>
      <w:r>
        <w:rPr>
          <w:rFonts w:ascii="Helvetica" w:hAnsi="Helvetica" w:cs="Helvetica"/>
          <w:sz w:val="29"/>
          <w:sz-cs w:val="29"/>
          <w:i/>
          <w:spacing w:val="0"/>
          <w:color w:val="181E2A"/>
        </w:rPr>
        <w:t xml:space="preserve">Approuver</w:t>
      </w:r>
      <w:r>
        <w:rPr>
          <w:rFonts w:ascii="Helvetica" w:hAnsi="Helvetica" w:cs="Helvetica"/>
          <w:sz w:val="29"/>
          <w:sz-cs w:val="29"/>
          <w:spacing w:val="0"/>
          <w:color w:val="181E2A"/>
        </w:rPr>
        <w:t xml:space="preserve"> / </w:t>
      </w:r>
      <w:r>
        <w:rPr>
          <w:rFonts w:ascii="Helvetica" w:hAnsi="Helvetica" w:cs="Helvetica"/>
          <w:sz w:val="29"/>
          <w:sz-cs w:val="29"/>
          <w:i/>
          <w:spacing w:val="0"/>
          <w:color w:val="181E2A"/>
        </w:rPr>
        <w:t xml:space="preserve">Rejeter</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Envoi :</w:t>
      </w:r>
      <w:r>
        <w:rPr>
          <w:rFonts w:ascii="Helvetica" w:hAnsi="Helvetica" w:cs="Helvetica"/>
          <w:sz w:val="29"/>
          <w:sz-cs w:val="29"/>
          <w:spacing w:val="0"/>
          <w:color w:val="181E2A"/>
        </w:rPr>
        <w:t xml:space="preserve"> Resend pour les emails sortants.</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Stockage :</w:t>
      </w:r>
      <w:r>
        <w:rPr>
          <w:rFonts w:ascii="Helvetica" w:hAnsi="Helvetica" w:cs="Helvetica"/>
          <w:sz w:val="29"/>
          <w:sz-cs w:val="29"/>
          <w:spacing w:val="0"/>
          <w:color w:val="181E2A"/>
        </w:rPr>
        <w:t xml:space="preserve"> Supabase pour les packs, le CRM et les artefacts.</w:t>
      </w:r>
    </w:p>
    <w:p>
      <w:pPr/>
      <w:r>
        <w:rPr>
          <w:rFonts w:ascii="Helvetica" w:hAnsi="Helvetica" w:cs="Helvetica"/>
          <w:sz w:val="29"/>
          <w:sz-cs w:val="29"/>
          <w:b/>
          <w:spacing w:val="0"/>
          <w:color w:val="181E2A"/>
        </w:rPr>
        <w:t xml:space="preserve">État attendu en phase 1 deck PPTX :</w:t>
      </w:r>
      <w:r>
        <w:rPr>
          <w:rFonts w:ascii="Helvetica" w:hAnsi="Helvetica" w:cs="Helvetica"/>
          <w:sz w:val="29"/>
          <w:sz-cs w:val="29"/>
          <w:spacing w:val="0"/>
          <w:color w:val="181E2A"/>
        </w:rPr>
        <w:t xml:space="preserve"> chaque pack validé doit stocker deux pièces jointes finales dans </w:t>
      </w:r>
      <w:r>
        <w:rPr>
          <w:rFonts w:ascii="Menlo" w:hAnsi="Menlo" w:cs="Menlo"/>
          <w:sz w:val="25"/>
          <w:sz-cs w:val="25"/>
          <w:spacing w:val="0"/>
          <w:color w:val="181E2A"/>
        </w:rPr>
        <w:t xml:space="preserve">mail_attachments</w:t>
      </w:r>
      <w:r>
        <w:rPr>
          <w:rFonts w:ascii="Helvetica" w:hAnsi="Helvetica" w:cs="Helvetica"/>
          <w:sz w:val="29"/>
          <w:sz-cs w:val="29"/>
          <w:spacing w:val="0"/>
          <w:color w:val="181E2A"/>
        </w:rPr>
        <w:t xml:space="preserve"> : un catalogue </w:t>
      </w:r>
      <w:r>
        <w:rPr>
          <w:rFonts w:ascii="Menlo" w:hAnsi="Menlo" w:cs="Menlo"/>
          <w:sz w:val="25"/>
          <w:sz-cs w:val="25"/>
          <w:spacing w:val="0"/>
          <w:color w:val="181E2A"/>
        </w:rPr>
        <w:t xml:space="preserve">.pdf</w:t>
      </w:r>
      <w:r>
        <w:rPr>
          <w:rFonts w:ascii="Helvetica" w:hAnsi="Helvetica" w:cs="Helvetica"/>
          <w:sz w:val="29"/>
          <w:sz-cs w:val="29"/>
          <w:spacing w:val="0"/>
          <w:color w:val="181E2A"/>
        </w:rPr>
        <w:t xml:space="preserve"> et un deck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Le fallback </w:t>
      </w:r>
      <w:r>
        <w:rPr>
          <w:rFonts w:ascii="Menlo" w:hAnsi="Menlo" w:cs="Menlo"/>
          <w:sz w:val="25"/>
          <w:sz-cs w:val="25"/>
          <w:spacing w:val="0"/>
          <w:color w:val="181E2A"/>
        </w:rPr>
        <w:t xml:space="preserve">Deck_Brief_[Prospect].json</w:t>
      </w:r>
      <w:r>
        <w:rPr>
          <w:rFonts w:ascii="Helvetica" w:hAnsi="Helvetica" w:cs="Helvetica"/>
          <w:sz w:val="29"/>
          <w:sz-cs w:val="29"/>
          <w:spacing w:val="0"/>
          <w:color w:val="181E2A"/>
        </w:rPr>
        <w:t xml:space="preserve"> ne fait plus partie du flux d’envoi cible.</w:t>
      </w:r>
    </w:p>
    <w:p>
      <w:pPr>
        <w:spacing w:after="160"/>
      </w:pPr>
      <w:r>
        <w:rPr>
          <w:rFonts w:ascii="Helvetica" w:hAnsi="Helvetica" w:cs="Helvetica"/>
          <w:sz w:val="37"/>
          <w:sz-cs w:val="37"/>
          <w:b/>
          <w:spacing w:val="0"/>
          <w:color w:val="0F3A6E"/>
        </w:rPr>
        <w:t xml:space="preserve">4. Composants, outils et responsabilites</w:t>
      </w:r>
    </w:p>
    <w:p>
      <w:pPr>
        <w:spacing w:after="160"/>
      </w:pPr>
      <w:r>
        <w:rPr>
          <w:rFonts w:ascii="Helvetica" w:hAnsi="Helvetica" w:cs="Helvetica"/>
          <w:sz w:val="32"/>
          <w:sz-cs w:val="32"/>
          <w:b/>
          <w:spacing w:val="0"/>
          <w:color w:val="0F3A6E"/>
        </w:rPr>
        <w:t xml:space="preserve">4.1 n8n</w:t>
      </w:r>
    </w:p>
    <w:p>
      <w:pPr>
        <w:spacing w:after="213"/>
      </w:pPr>
      <w:r>
        <w:rPr>
          <w:rFonts w:ascii="Helvetica" w:hAnsi="Helvetica" w:cs="Helvetica"/>
          <w:sz w:val="29"/>
          <w:sz-cs w:val="29"/>
          <w:spacing w:val="0"/>
          <w:color w:val="181E2A"/>
        </w:rPr>
        <w:t xml:space="preserve">n8n orchestre la generation du pack, les appels OpenAI, le rendu catalogue, la validation interne, le webhook d approbation et l envoi prospect.</w:t>
      </w:r>
    </w:p>
    <w:p>
      <w:pPr>
        <w:spacing w:after="160"/>
      </w:pPr>
      <w:r>
        <w:rPr>
          <w:rFonts w:ascii="Helvetica" w:hAnsi="Helvetica" w:cs="Helvetica"/>
          <w:sz w:val="32"/>
          <w:sz-cs w:val="32"/>
          <w:b/>
          <w:spacing w:val="0"/>
          <w:color w:val="0F3A6E"/>
        </w:rPr>
        <w:t xml:space="preserve">4.2 Supabase</w:t>
      </w:r>
    </w:p>
    <w:p>
      <w:pPr>
        <w:spacing w:after="213"/>
      </w:pPr>
      <w:r>
        <w:rPr>
          <w:rFonts w:ascii="Helvetica" w:hAnsi="Helvetica" w:cs="Helvetica"/>
          <w:sz w:val="29"/>
          <w:sz-cs w:val="29"/>
          <w:spacing w:val="0"/>
          <w:color w:val="181E2A"/>
        </w:rPr>
        <w:t xml:space="preserve">Supabase joue plusieurs roles :</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base de donnees pour les packs et le CRM,</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storage pour les catalogues PDF/DOCX,</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edge functions pour les traitements backend comme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0F3A6E"/>
        </w:rPr>
        <w:t xml:space="preserve">4.3 Resend</w:t>
      </w:r>
    </w:p>
    <w:p>
      <w:pPr>
        <w:spacing w:after="213"/>
      </w:pPr>
      <w:r>
        <w:rPr>
          <w:rFonts w:ascii="Helvetica" w:hAnsi="Helvetica" w:cs="Helvetica"/>
          <w:sz w:val="29"/>
          <w:sz-cs w:val="29"/>
          <w:spacing w:val="0"/>
          <w:color w:val="181E2A"/>
        </w:rPr>
        <w:t xml:space="preserve">Resend sert a l envoi des emails internes et externes. La base de test reste </w:t>
      </w:r>
      <w:r>
        <w:rPr>
          <w:rFonts w:ascii="Menlo" w:hAnsi="Menlo" w:cs="Menlo"/>
          <w:sz w:val="25"/>
          <w:sz-cs w:val="25"/>
          <w:spacing w:val="0"/>
          <w:color w:val="181E2A"/>
        </w:rPr>
        <w:t xml:space="preserve">onboarding@resend.dev</w:t>
      </w:r>
      <w:r>
        <w:rPr>
          <w:rFonts w:ascii="Helvetica" w:hAnsi="Helvetica" w:cs="Helvetica"/>
          <w:sz w:val="29"/>
          <w:sz-cs w:val="29"/>
          <w:spacing w:val="0"/>
          <w:color w:val="181E2A"/>
        </w:rPr>
        <w:t xml:space="preserve"> tant que le domaine de production n est pas pleinement verrouille.</w:t>
      </w:r>
    </w:p>
    <w:p>
      <w:pPr>
        <w:spacing w:after="160"/>
      </w:pPr>
      <w:r>
        <w:rPr>
          <w:rFonts w:ascii="Helvetica" w:hAnsi="Helvetica" w:cs="Helvetica"/>
          <w:sz w:val="32"/>
          <w:sz-cs w:val="32"/>
          <w:b/>
          <w:spacing w:val="0"/>
          <w:color w:val="0F3A6E"/>
        </w:rPr>
        <w:t xml:space="preserve">4.4 Back-office et admin</w:t>
      </w:r>
    </w:p>
    <w:p>
      <w:pPr>
        <w:spacing w:after="213"/>
      </w:pPr>
      <w:r>
        <w:rPr>
          <w:rFonts w:ascii="Helvetica" w:hAnsi="Helvetica" w:cs="Helvetica"/>
          <w:sz w:val="29"/>
          <w:sz-cs w:val="29"/>
          <w:spacing w:val="0"/>
          <w:color w:val="181E2A"/>
        </w:rPr>
        <w:t xml:space="preserve">Le back-office TransferAI couvre les ressources, la newsletter, les brouillons IA, les partenariats, les opportunites, WhatsApp et l exploitation du futur assistant IA.</w:t>
      </w:r>
    </w:p>
    <w:p>
      <w:pPr>
        <w:spacing w:after="160"/>
      </w:pPr>
      <w:r>
        <w:rPr>
          <w:rFonts w:ascii="Helvetica" w:hAnsi="Helvetica" w:cs="Helvetica"/>
          <w:sz w:val="32"/>
          <w:sz-cs w:val="32"/>
          <w:b/>
          <w:spacing w:val="0"/>
          <w:color w:val="0F3A6E"/>
        </w:rPr>
        <w:t xml:space="preserve">4.5 Chatwoot, Twilio et WhatsApp</w:t>
      </w:r>
    </w:p>
    <w:p>
      <w:pPr>
        <w:spacing w:after="213"/>
      </w:pPr>
      <w:r>
        <w:rPr>
          <w:rFonts w:ascii="Helvetica" w:hAnsi="Helvetica" w:cs="Helvetica"/>
          <w:sz w:val="29"/>
          <w:sz-cs w:val="29"/>
          <w:spacing w:val="0"/>
          <w:color w:val="181E2A"/>
        </w:rPr>
        <w:t xml:space="preserve">Ces briques servent a capter les messages entrants, orienter les utilisateurs, journaliser les interactions et alimenter la relation client multicanale.</w:t>
      </w:r>
    </w:p>
    <w:p>
      <w:pPr>
        <w:spacing w:after="160"/>
      </w:pPr>
      <w:r>
        <w:rPr>
          <w:rFonts w:ascii="Helvetica" w:hAnsi="Helvetica" w:cs="Helvetica"/>
          <w:sz w:val="37"/>
          <w:sz-cs w:val="37"/>
          <w:b/>
          <w:spacing w:val="0"/>
          <w:color w:val="0F3A6E"/>
        </w:rPr>
        <w:t xml:space="preserve">5. Niveaux de secrets et valeurs de reference</w:t>
      </w:r>
    </w:p>
    <w:p>
      <w:pPr/>
      <w:r>
        <w:rPr>
          <w:rFonts w:ascii="Helvetica" w:hAnsi="Helvetica" w:cs="Helvetica"/>
          <w:sz w:val="29"/>
          <w:sz-cs w:val="29"/>
          <w:b/>
          <w:spacing w:val="0"/>
          <w:color w:val="181E2A"/>
        </w:rPr>
        <w:t xml:space="preserve">Element</w:t>
      </w:r>
    </w:p>
    <w:p>
      <w:pPr/>
      <w:r>
        <w:rPr>
          <w:rFonts w:ascii="Helvetica" w:hAnsi="Helvetica" w:cs="Helvetica"/>
          <w:sz w:val="29"/>
          <w:sz-cs w:val="29"/>
          <w:b/>
          <w:spacing w:val="0"/>
          <w:color w:val="181E2A"/>
        </w:rPr>
        <w:t xml:space="preserve">Usage</w:t>
      </w:r>
    </w:p>
    <w:p>
      <w:pPr/>
      <w:r>
        <w:rPr>
          <w:rFonts w:ascii="Helvetica" w:hAnsi="Helvetica" w:cs="Helvetica"/>
          <w:sz w:val="29"/>
          <w:sz-cs w:val="29"/>
          <w:b/>
          <w:spacing w:val="0"/>
          <w:color w:val="181E2A"/>
        </w:rPr>
        <w:t xml:space="preserve">Regle de stabilite</w:t>
      </w:r>
    </w:p>
    <w:p>
      <w:pPr/>
      <w:r>
        <w:rPr>
          <w:rFonts w:ascii="Menlo" w:hAnsi="Menlo" w:cs="Menlo"/>
          <w:sz w:val="25"/>
          <w:sz-cs w:val="25"/>
          <w:spacing w:val="0"/>
          <w:color w:val="181E2A"/>
        </w:rPr>
        <w:t xml:space="preserve">CONTENT_ADMIN_TOKEN</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Authentification des fonctions back-office et des renderers via le header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À conserver et utiliser en priorité dans n8n pour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w:r>
    </w:p>
    <w:p>
      <w:pPr/>
      <w:r>
        <w:rPr>
          <w:rFonts w:ascii="Menlo" w:hAnsi="Menlo" w:cs="Menlo"/>
          <w:sz w:val="25"/>
          <w:sz-cs w:val="25"/>
          <w:spacing w:val="0"/>
          <w:color w:val="181E2A"/>
        </w:rPr>
        <w:t xml:space="preserve">SUPABASE_SERVICE_ROLE_KEY</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Execution backend privilegiee</w:t>
      </w:r>
    </w:p>
    <w:p>
      <w:pPr/>
      <w:r>
        <w:rPr>
          <w:rFonts w:ascii="Helvetica" w:hAnsi="Helvetica" w:cs="Helvetica"/>
          <w:sz w:val="29"/>
          <w:sz-cs w:val="29"/>
          <w:spacing w:val="0"/>
          <w:color w:val="181E2A"/>
        </w:rPr>
        <w:t xml:space="preserve">A conserver cote serveur ; eviter de la privilegier dans n8n si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suffit</w:t>
      </w:r>
    </w:p>
    <w:p>
      <w:pPr/>
      <w:r>
        <w:rPr>
          <w:rFonts w:ascii="Menlo" w:hAnsi="Menlo" w:cs="Menlo"/>
          <w:sz w:val="25"/>
          <w:sz-cs w:val="25"/>
          <w:spacing w:val="0"/>
          <w:color w:val="181E2A"/>
        </w:rPr>
        <w:t xml:space="preserve">SUPABASE_URL</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URL du projet Supabase</w:t>
      </w:r>
    </w:p>
    <w:p>
      <w:pPr/>
      <w:r>
        <w:rPr>
          <w:rFonts w:ascii="Helvetica" w:hAnsi="Helvetica" w:cs="Helvetica"/>
          <w:sz w:val="29"/>
          <w:sz-cs w:val="29"/>
          <w:spacing w:val="0"/>
          <w:color w:val="181E2A"/>
        </w:rPr>
        <w:t xml:space="preserve">A conserver</w:t>
      </w:r>
    </w:p>
    <w:p>
      <w:pPr/>
      <w:r>
        <w:rPr>
          <w:rFonts w:ascii="Menlo" w:hAnsi="Menlo" w:cs="Menlo"/>
          <w:sz w:val="25"/>
          <w:sz-cs w:val="25"/>
          <w:spacing w:val="0"/>
          <w:color w:val="181E2A"/>
        </w:rPr>
        <w:t xml:space="preserve">RESEND_API_KEY</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Envoi email</w:t>
      </w:r>
    </w:p>
    <w:p>
      <w:pPr/>
      <w:r>
        <w:rPr>
          <w:rFonts w:ascii="Helvetica" w:hAnsi="Helvetica" w:cs="Helvetica"/>
          <w:sz w:val="29"/>
          <w:sz-cs w:val="29"/>
          <w:spacing w:val="0"/>
          <w:color w:val="181E2A"/>
        </w:rPr>
        <w:t xml:space="preserve">A conserver</w:t>
      </w:r>
    </w:p>
    <w:p>
      <w:pPr/>
      <w:r>
        <w:rPr>
          <w:rFonts w:ascii="Menlo" w:hAnsi="Menlo" w:cs="Menlo"/>
          <w:sz w:val="25"/>
          <w:sz-cs w:val="25"/>
          <w:spacing w:val="0"/>
          <w:color w:val="181E2A"/>
        </w:rPr>
        <w:t xml:space="preserve">OPENAI_API_KEY</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Generation pre-audit, lettre, catalogue, audit form, deck brief</w:t>
      </w:r>
    </w:p>
    <w:p>
      <w:pPr/>
      <w:r>
        <w:rPr>
          <w:rFonts w:ascii="Helvetica" w:hAnsi="Helvetica" w:cs="Helvetica"/>
          <w:sz w:val="29"/>
          <w:sz-cs w:val="29"/>
          <w:spacing w:val="0"/>
          <w:color w:val="181E2A"/>
        </w:rPr>
        <w:t xml:space="preserve">A conserver</w:t>
      </w:r>
    </w:p>
    <w:p>
      <w:pPr/>
      <w:r>
        <w:rPr>
          <w:rFonts w:ascii="Menlo" w:hAnsi="Menlo" w:cs="Menlo"/>
          <w:sz w:val="25"/>
          <w:sz-cs w:val="25"/>
          <w:spacing w:val="0"/>
          <w:color w:val="181E2A"/>
        </w:rPr>
        <w:t xml:space="preserve">BOOKING_LINK_45MIN</w:t>
      </w:r>
      <w:r>
        <w:rPr>
          <w:rFonts w:ascii="Helvetica" w:hAnsi="Helvetica" w:cs="Helvetica"/>
          <w:sz w:val="29"/>
          <w:sz-cs w:val="29"/>
          <w:spacing w:val="0"/>
          <w:color w:val="181E2A"/>
        </w:rPr>
        <w:t xml:space="preserve"> / lien direct</w:t>
      </w:r>
    </w:p>
    <w:p>
      <w:pPr/>
      <w:r>
        <w:rPr>
          <w:rFonts w:ascii="Helvetica" w:hAnsi="Helvetica" w:cs="Helvetica"/>
          <w:sz w:val="29"/>
          <w:sz-cs w:val="29"/>
          <w:spacing w:val="0"/>
          <w:color w:val="181E2A"/>
        </w:rPr>
        <w:t xml:space="preserve">CTA de prise de rendez-vous</w:t>
      </w:r>
    </w:p>
    <w:p>
      <w:pPr/>
      <w:r>
        <w:rPr>
          <w:rFonts w:ascii="Helvetica" w:hAnsi="Helvetica" w:cs="Helvetica"/>
          <w:sz w:val="29"/>
          <w:sz-cs w:val="29"/>
          <w:spacing w:val="0"/>
          <w:color w:val="181E2A"/>
        </w:rPr>
        <w:t xml:space="preserve">La valeur valide de reference est </w:t>
      </w:r>
      <w:r>
        <w:rPr>
          <w:rFonts w:ascii="Menlo" w:hAnsi="Menlo" w:cs="Menlo"/>
          <w:sz w:val="25"/>
          <w:sz-cs w:val="25"/>
          <w:spacing w:val="0"/>
          <w:color w:val="181E2A"/>
        </w:rPr>
        <w:t xml:space="preserve">https://calendly.com/contact-transferai/30min</w:t>
      </w:r>
      <w:r>
        <w:rPr>
          <w:rFonts w:ascii="Helvetica" w:hAnsi="Helvetica" w:cs="Helvetica"/>
          <w:sz w:val="29"/>
          <w:sz-cs w:val="29"/>
          <w:spacing w:val="0"/>
          <w:color w:val="181E2A"/>
        </w:rPr>
        <w:t xml:space="preserve"/>
      </w:r>
    </w:p>
    <w:p>
      <w:pPr/>
      <w:r>
        <w:rPr>
          <w:rFonts w:ascii="Menlo" w:hAnsi="Menlo" w:cs="Menlo"/>
          <w:sz w:val="25"/>
          <w:sz-cs w:val="25"/>
          <w:spacing w:val="0"/>
          <w:color w:val="181E2A"/>
        </w:rPr>
        <w:t xml:space="preserve">MAIL_FROM</w:t>
      </w:r>
      <w:r>
        <w:rPr>
          <w:rFonts w:ascii="Helvetica" w:hAnsi="Helvetica" w:cs="Helvetica"/>
          <w:sz w:val="29"/>
          <w:sz-cs w:val="29"/>
          <w:spacing w:val="0"/>
          <w:color w:val="181E2A"/>
        </w:rPr>
        <w:t xml:space="preserve"> / sender</w:t>
      </w:r>
    </w:p>
    <w:p>
      <w:pPr/>
      <w:r>
        <w:rPr>
          <w:rFonts w:ascii="Helvetica" w:hAnsi="Helvetica" w:cs="Helvetica"/>
          <w:sz w:val="29"/>
          <w:sz-cs w:val="29"/>
          <w:spacing w:val="0"/>
          <w:color w:val="181E2A"/>
        </w:rPr>
        <w:t xml:space="preserve">Adresse expediteur Resend</w:t>
      </w:r>
    </w:p>
    <w:p>
      <w:pPr/>
      <w:r>
        <w:rPr>
          <w:rFonts w:ascii="Helvetica" w:hAnsi="Helvetica" w:cs="Helvetica"/>
          <w:sz w:val="29"/>
          <w:sz-cs w:val="29"/>
          <w:spacing w:val="0"/>
          <w:color w:val="181E2A"/>
        </w:rPr>
        <w:t xml:space="preserve">Remplacer le sender de test </w:t>
      </w:r>
      <w:r>
        <w:rPr>
          <w:rFonts w:ascii="Menlo" w:hAnsi="Menlo" w:cs="Menlo"/>
          <w:sz w:val="25"/>
          <w:sz-cs w:val="25"/>
          <w:spacing w:val="0"/>
          <w:color w:val="181E2A"/>
        </w:rPr>
        <w:t xml:space="preserve">onboarding@resend.dev</w:t>
      </w:r>
      <w:r>
        <w:rPr>
          <w:rFonts w:ascii="Helvetica" w:hAnsi="Helvetica" w:cs="Helvetica"/>
          <w:sz w:val="29"/>
          <w:sz-cs w:val="29"/>
          <w:spacing w:val="0"/>
          <w:color w:val="181E2A"/>
        </w:rPr>
        <w:t xml:space="preserve"> par </w:t>
      </w:r>
      <w:r>
        <w:rPr>
          <w:rFonts w:ascii="Menlo" w:hAnsi="Menlo" w:cs="Menlo"/>
          <w:sz w:val="25"/>
          <w:sz-cs w:val="25"/>
          <w:spacing w:val="0"/>
          <w:color w:val="181E2A"/>
        </w:rPr>
        <w:t xml:space="preserve">noreply@transferai.ci</w:t>
      </w:r>
      <w:r>
        <w:rPr>
          <w:rFonts w:ascii="Helvetica" w:hAnsi="Helvetica" w:cs="Helvetica"/>
          <w:sz w:val="29"/>
          <w:sz-cs w:val="29"/>
          <w:spacing w:val="0"/>
          <w:color w:val="181E2A"/>
        </w:rPr>
        <w:t xml:space="preserve"> une fois le domaine valide</w:t>
      </w:r>
    </w:p>
    <w:p>
      <w:pPr>
        <w:spacing w:after="160"/>
      </w:pPr>
      <w:r>
        <w:rPr>
          <w:rFonts w:ascii="Helvetica" w:hAnsi="Helvetica" w:cs="Helvetica"/>
          <w:sz w:val="37"/>
          <w:sz-cs w:val="37"/>
          <w:b/>
          <w:spacing w:val="0"/>
          <w:color w:val="0F3A6E"/>
        </w:rPr>
        <w:t xml:space="preserve">6. Cles, valeurs et comportements a remplacer pour la stabilite</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Supprimer l ancien schema d auth du renderer par </w:t>
      </w:r>
      <w:r>
        <w:rPr>
          <w:rFonts w:ascii="Menlo" w:hAnsi="Menlo" w:cs="Menlo"/>
          <w:sz w:val="25"/>
          <w:sz-cs w:val="25"/>
          <w:spacing w:val="0"/>
          <w:color w:val="181E2A"/>
        </w:rPr>
        <w:t xml:space="preserve">Authorization: Bearer ...</w:t>
      </w:r>
      <w:r>
        <w:rPr>
          <w:rFonts w:ascii="Helvetica" w:hAnsi="Helvetica" w:cs="Helvetica"/>
          <w:sz w:val="29"/>
          <w:sz-cs w:val="29"/>
          <w:spacing w:val="0"/>
          <w:color w:val="181E2A"/>
        </w:rPr>
        <w:t xml:space="preserve"> si le schema </w:t>
      </w:r>
      <w:r>
        <w:rPr>
          <w:rFonts w:ascii="Menlo" w:hAnsi="Menlo" w:cs="Menlo"/>
          <w:sz w:val="25"/>
          <w:sz-cs w:val="25"/>
          <w:spacing w:val="0"/>
          <w:color w:val="181E2A"/>
        </w:rPr>
        <w:t xml:space="preserve">x-admin-token</w:t>
      </w:r>
      <w:r>
        <w:rPr>
          <w:rFonts w:ascii="Helvetica" w:hAnsi="Helvetica" w:cs="Helvetica"/>
          <w:sz w:val="29"/>
          <w:sz-cs w:val="29"/>
          <w:spacing w:val="0"/>
          <w:color w:val="181E2A"/>
        </w:rPr>
        <w:t xml:space="preserve"> est adopte partout.</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Retirer toute cible Gmail de test avant production.</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Ne plus utiliser les anciens PDF statiques du site </w:t>
      </w:r>
      <w:r>
        <w:rPr>
          <w:rFonts w:ascii="Menlo" w:hAnsi="Menlo" w:cs="Menlo"/>
          <w:sz w:val="25"/>
          <w:sz-cs w:val="25"/>
          <w:spacing w:val="0"/>
          <w:color w:val="181E2A"/>
        </w:rPr>
        <w:t xml:space="preserve">transferai.ci/catalogues-domaines-assets/...</w:t>
      </w:r>
      <w:r>
        <w:rPr>
          <w:rFonts w:ascii="Helvetica" w:hAnsi="Helvetica" w:cs="Helvetica"/>
          <w:sz w:val="29"/>
          <w:sz-cs w:val="29"/>
          <w:spacing w:val="0"/>
          <w:color w:val="181E2A"/>
        </w:rPr>
        <w:t xml:space="preserve"> comme source finale de piece jointe.</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Ne plus attacher le formulaire d audit en fichier ; conserver uniquement le lien web.</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Ne plus dependre d un chemin disque local Mac pour les livrables ; toute generation doit passer par service backend + storage.</w:t>
      </w:r>
    </w:p>
    <w:p>
      <w:pPr>
        <w:spacing w:after="160"/>
      </w:pPr>
      <w:r>
        <w:rPr>
          <w:rFonts w:ascii="Helvetica" w:hAnsi="Helvetica" w:cs="Helvetica"/>
          <w:sz w:val="37"/>
          <w:sz-cs w:val="37"/>
          <w:b/>
          <w:spacing w:val="0"/>
          <w:color w:val="0F3A6E"/>
        </w:rPr>
        <w:t xml:space="preserve">7. Workflow V3 de référence</w:t>
      </w:r>
    </w:p>
    <w:p>
      <w:pPr>
        <w:spacing w:after="160"/>
      </w:pPr>
      <w:r>
        <w:rPr>
          <w:rFonts w:ascii="Helvetica" w:hAnsi="Helvetica" w:cs="Helvetica"/>
          <w:sz w:val="32"/>
          <w:sz-cs w:val="32"/>
          <w:b/>
          <w:spacing w:val="0"/>
          <w:color w:val="0F3A6E"/>
        </w:rPr>
        <w:t xml:space="preserve">7.1 Nœuds clés</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Executive Letter</w:t>
      </w:r>
      <w:r>
        <w:rPr>
          <w:rFonts w:ascii="Helvetica" w:hAnsi="Helvetica" w:cs="Helvetica"/>
          <w:sz w:val="29"/>
          <w:sz-cs w:val="29"/>
          <w:spacing w:val="0"/>
          <w:color w:val="181E2A"/>
        </w:rPr>
        <w:t xml:space="preserve"> : courrier exécutif.</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Tailored Catalogue</w:t>
      </w:r>
      <w:r>
        <w:rPr>
          <w:rFonts w:ascii="Helvetica" w:hAnsi="Helvetica" w:cs="Helvetica"/>
          <w:sz w:val="29"/>
          <w:sz-cs w:val="29"/>
          <w:spacing w:val="0"/>
          <w:color w:val="181E2A"/>
        </w:rPr>
        <w:t xml:space="preserve"> : source de personnalisation commerciale.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Tailored Audit Form</w:t>
      </w:r>
      <w:r>
        <w:rPr>
          <w:rFonts w:ascii="Helvetica" w:hAnsi="Helvetica" w:cs="Helvetica"/>
          <w:sz w:val="29"/>
          <w:sz-cs w:val="29"/>
          <w:spacing w:val="0"/>
          <w:color w:val="181E2A"/>
        </w:rPr>
        <w:t xml:space="preserve"> : source métier pour le formulaire d’audit.</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Generate Deck Brief</w:t>
      </w:r>
      <w:r>
        <w:rPr>
          <w:rFonts w:ascii="Helvetica" w:hAnsi="Helvetica" w:cs="Helvetica"/>
          <w:sz w:val="29"/>
          <w:sz-cs w:val="29"/>
          <w:spacing w:val="0"/>
          <w:color w:val="181E2A"/>
        </w:rPr>
        <w:t xml:space="preserve"> : structure et argumentaire du deck.</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Assemble Prospect Pack</w:t>
      </w:r>
      <w:r>
        <w:rPr>
          <w:rFonts w:ascii="Helvetica" w:hAnsi="Helvetica" w:cs="Helvetica"/>
          <w:sz w:val="29"/>
          <w:sz-cs w:val="29"/>
          <w:spacing w:val="0"/>
          <w:color w:val="181E2A"/>
        </w:rPr>
        <w:t xml:space="preserve"> : assemble les sorties LLM et le contexte prospect.</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Resolve Domain Catalogue</w:t>
      </w:r>
      <w:r>
        <w:rPr>
          <w:rFonts w:ascii="Helvetica" w:hAnsi="Helvetica" w:cs="Helvetica"/>
          <w:sz w:val="29"/>
          <w:sz-cs w:val="29"/>
          <w:spacing w:val="0"/>
          <w:color w:val="181E2A"/>
        </w:rPr>
        <w:t xml:space="preserve"> : détecte le domaine de base du catalogue.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Catalogue Render Payload</w:t>
      </w:r>
      <w:r>
        <w:rPr>
          <w:rFonts w:ascii="Helvetica" w:hAnsi="Helvetica" w:cs="Helvetica"/>
          <w:sz w:val="29"/>
          <w:sz-cs w:val="29"/>
          <w:spacing w:val="0"/>
          <w:color w:val="181E2A"/>
        </w:rPr>
        <w:t xml:space="preserve"> : fabrique le payload complet pour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Catalogue Artifact</w:t>
      </w:r>
      <w:r>
        <w:rPr>
          <w:rFonts w:ascii="Helvetica" w:hAnsi="Helvetica" w:cs="Helvetica"/>
          <w:sz w:val="29"/>
          <w:sz-cs w:val="29"/>
          <w:spacing w:val="0"/>
          <w:color w:val="181E2A"/>
        </w:rPr>
        <w:t xml:space="preserve"> : génère le PDF et le DOCX par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Merge Catalogue Artifact</w:t>
      </w:r>
      <w:r>
        <w:rPr>
          <w:rFonts w:ascii="Helvetica" w:hAnsi="Helvetica" w:cs="Helvetica"/>
          <w:sz w:val="29"/>
          <w:sz-cs w:val="29"/>
          <w:spacing w:val="0"/>
          <w:color w:val="181E2A"/>
        </w:rPr>
        <w:t xml:space="preserve"> : injecte les URLs réelles du catalogue dans le pack.</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Deck Render Payload</w:t>
      </w:r>
      <w:r>
        <w:rPr>
          <w:rFonts w:ascii="Helvetica" w:hAnsi="Helvetica" w:cs="Helvetica"/>
          <w:sz w:val="29"/>
          <w:sz-cs w:val="29"/>
          <w:spacing w:val="0"/>
          <w:color w:val="181E2A"/>
        </w:rPr>
        <w:t xml:space="preserve"> : prépare le payload PPTX à partir du pack enrichi catalogue.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Render Deck Artifact</w:t>
      </w:r>
      <w:r>
        <w:rPr>
          <w:rFonts w:ascii="Helvetica" w:hAnsi="Helvetica" w:cs="Helvetica"/>
          <w:sz w:val="29"/>
          <w:sz-cs w:val="29"/>
          <w:spacing w:val="0"/>
          <w:color w:val="181E2A"/>
        </w:rPr>
        <w:t xml:space="preserve"> : appelle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pour produire le fichier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Merge Deck Artifact</w:t>
      </w:r>
      <w:r>
        <w:rPr>
          <w:rFonts w:ascii="Helvetica" w:hAnsi="Helvetica" w:cs="Helvetica"/>
          <w:sz w:val="29"/>
          <w:sz-cs w:val="29"/>
          <w:spacing w:val="0"/>
          <w:color w:val="181E2A"/>
        </w:rPr>
        <w:t xml:space="preserve"> : fusionne le deck avec le pack et concatène les pièces jointes catalogue + deck.</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Store Pack In Supabase</w:t>
      </w:r>
      <w:r>
        <w:rPr>
          <w:rFonts w:ascii="Helvetica" w:hAnsi="Helvetica" w:cs="Helvetica"/>
          <w:sz w:val="29"/>
          <w:sz-cs w:val="29"/>
          <w:spacing w:val="0"/>
          <w:color w:val="181E2A"/>
        </w:rPr>
        <w:t xml:space="preserve"> : stocke le pack final avec </w:t>
      </w:r>
      <w:r>
        <w:rPr>
          <w:rFonts w:ascii="Menlo" w:hAnsi="Menlo" w:cs="Menlo"/>
          <w:sz w:val="25"/>
          <w:sz-cs w:val="25"/>
          <w:spacing w:val="0"/>
          <w:color w:val="181E2A"/>
        </w:rPr>
        <w:t xml:space="preserve">catalogue_artifact</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deck_artifact</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mail_attachments</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attachments_count</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Build Approval Email</w:t>
      </w:r>
      <w:r>
        <w:rPr>
          <w:rFonts w:ascii="Helvetica" w:hAnsi="Helvetica" w:cs="Helvetica"/>
          <w:sz w:val="29"/>
          <w:sz-cs w:val="29"/>
          <w:spacing w:val="0"/>
          <w:color w:val="181E2A"/>
        </w:rPr>
        <w:t xml:space="preserve"> et </w:t>
      </w:r>
      <w:r>
        <w:rPr>
          <w:rFonts w:ascii="Helvetica" w:hAnsi="Helvetica" w:cs="Helvetica"/>
          <w:sz w:val="29"/>
          <w:sz-cs w:val="29"/>
          <w:b/>
          <w:spacing w:val="0"/>
          <w:color w:val="181E2A"/>
        </w:rPr>
        <w:t xml:space="preserve">Send Internal Approval Email</w:t>
      </w:r>
      <w:r>
        <w:rPr>
          <w:rFonts w:ascii="Helvetica" w:hAnsi="Helvetica" w:cs="Helvetica"/>
          <w:sz w:val="29"/>
          <w:sz-cs w:val="29"/>
          <w:spacing w:val="0"/>
          <w:color w:val="181E2A"/>
        </w:rPr>
        <w:t xml:space="preserve"> : validation interne.</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Approval Webhook</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Extract Pack Payload</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Send External Prospect Email</w:t>
      </w:r>
      <w:r>
        <w:rPr>
          <w:rFonts w:ascii="Helvetica" w:hAnsi="Helvetica" w:cs="Helvetica"/>
          <w:sz w:val="29"/>
          <w:sz-cs w:val="29"/>
          <w:spacing w:val="0"/>
          <w:color w:val="181E2A"/>
        </w:rPr>
        <w:t xml:space="preserve"> : envoi prospect.</w:t>
      </w:r>
    </w:p>
    <w:p>
      <w:pPr>
        <w:spacing w:after="160"/>
      </w:pPr>
      <w:r>
        <w:rPr>
          <w:rFonts w:ascii="Helvetica" w:hAnsi="Helvetica" w:cs="Helvetica"/>
          <w:sz w:val="32"/>
          <w:sz-cs w:val="32"/>
          <w:b/>
          <w:spacing w:val="0"/>
          <w:color w:val="0F3A6E"/>
        </w:rPr>
        <w:t xml:space="preserve">7.2 Chaîne principale de référence</w:t>
      </w:r>
    </w:p>
    <w:p>
      <w:pPr>
        <w:spacing w:after="213"/>
      </w:pPr>
      <w:r>
        <w:rPr>
          <w:rFonts w:ascii="Helvetica" w:hAnsi="Helvetica" w:cs="Helvetica"/>
          <w:sz w:val="29"/>
          <w:sz-cs w:val="29"/>
          <w:spacing w:val="0"/>
          <w:color w:val="181E2A"/>
        </w:rPr>
        <w:t xml:space="preserve">La chaîne principale V3 validée pour la phase 1 deck PPTX est la suivante :</w:t>
      </w:r>
    </w:p>
    <w:p>
      <w:pPr>
        <w:spacing w:after="213"/>
      </w:pPr>
      <w:r>
        <w:rPr>
          <w:rFonts w:ascii="Menlo" w:hAnsi="Menlo" w:cs="Menlo"/>
          <w:sz w:val="25"/>
          <w:sz-cs w:val="25"/>
          <w:spacing w:val="0"/>
          <w:color w:val="181E2A"/>
        </w:rPr>
        <w:t xml:space="preserve">Assemble Prospect Pack -&gt; Resolve Domain Catalogue -&gt; Build Catalogue Render Payload -&gt; Render Catalogue Artifact -&gt; Merge Catalogue Artifact -&gt; Build Deck Render Payload -&gt; Render Deck Artifact -&gt; Merge Deck Artifact -&gt; Store Pack In Supabase -&gt; Build Approval Email -&gt; Send Internal Approval Email</w:t>
      </w:r>
      <w:r>
        <w:rPr>
          <w:rFonts w:ascii="Helvetica" w:hAnsi="Helvetica" w:cs="Helvetica"/>
          <w:sz w:val="29"/>
          <w:sz-cs w:val="29"/>
          <w:spacing w:val="0"/>
          <w:color w:val="181E2A"/>
        </w:rPr>
        <w:t xml:space="preserve"/>
      </w:r>
    </w:p>
    <w:p>
      <w:pPr>
        <w:spacing w:after="160"/>
      </w:pPr>
      <w:r>
        <w:rPr>
          <w:rFonts w:ascii="Helvetica" w:hAnsi="Helvetica" w:cs="Helvetica"/>
          <w:sz w:val="32"/>
          <w:sz-cs w:val="32"/>
          <w:b/>
          <w:spacing w:val="0"/>
          <w:color w:val="0F3A6E"/>
        </w:rPr>
        <w:t xml:space="preserve">7.3 Procédure normale d’utilisation</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Vérifier le prospect cible dans </w:t>
      </w:r>
      <w:r>
        <w:rPr>
          <w:rFonts w:ascii="Helvetica" w:hAnsi="Helvetica" w:cs="Helvetica"/>
          <w:sz w:val="29"/>
          <w:sz-cs w:val="29"/>
          <w:b/>
          <w:spacing w:val="0"/>
          <w:color w:val="181E2A"/>
        </w:rPr>
        <w:t xml:space="preserve">Set Target</w:t>
      </w:r>
      <w:r>
        <w:rPr>
          <w:rFonts w:ascii="Helvetica" w:hAnsi="Helvetica" w:cs="Helvetica"/>
          <w:sz w:val="29"/>
          <w:sz-cs w:val="29"/>
          <w:spacing w:val="0"/>
          <w:color w:val="181E2A"/>
        </w:rPr>
        <w:t xml:space="preserve"> ou dans sa source CRM.</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Lancer le workflow de génération.</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Vérifier que </w:t>
      </w:r>
      <w:r>
        <w:rPr>
          <w:rFonts w:ascii="Helvetica" w:hAnsi="Helvetica" w:cs="Helvetica"/>
          <w:sz w:val="29"/>
          <w:sz-cs w:val="29"/>
          <w:b/>
          <w:spacing w:val="0"/>
          <w:color w:val="181E2A"/>
        </w:rPr>
        <w:t xml:space="preserve">Render Catalogue Artifact</w:t>
      </w:r>
      <w:r>
        <w:rPr>
          <w:rFonts w:ascii="Helvetica" w:hAnsi="Helvetica" w:cs="Helvetica"/>
          <w:sz w:val="29"/>
          <w:sz-cs w:val="29"/>
          <w:spacing w:val="0"/>
          <w:color w:val="181E2A"/>
        </w:rPr>
        <w:t xml:space="preserve"> retourne </w:t>
      </w:r>
      <w:r>
        <w:rPr>
          <w:rFonts w:ascii="Menlo" w:hAnsi="Menlo" w:cs="Menlo"/>
          <w:sz w:val="25"/>
          <w:sz-cs w:val="25"/>
          <w:spacing w:val="0"/>
          <w:color w:val="181E2A"/>
        </w:rPr>
        <w:t xml:space="preserve">success = true</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used_tailored_markdown = 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Vérifier que </w:t>
      </w:r>
      <w:r>
        <w:rPr>
          <w:rFonts w:ascii="Helvetica" w:hAnsi="Helvetica" w:cs="Helvetica"/>
          <w:sz w:val="29"/>
          <w:sz-cs w:val="29"/>
          <w:b/>
          <w:spacing w:val="0"/>
          <w:color w:val="181E2A"/>
        </w:rPr>
        <w:t xml:space="preserve">Render Deck Artifact</w:t>
      </w:r>
      <w:r>
        <w:rPr>
          <w:rFonts w:ascii="Helvetica" w:hAnsi="Helvetica" w:cs="Helvetica"/>
          <w:sz w:val="29"/>
          <w:sz-cs w:val="29"/>
          <w:spacing w:val="0"/>
          <w:color w:val="181E2A"/>
        </w:rPr>
        <w:t xml:space="preserve"> retourne </w:t>
      </w:r>
      <w:r>
        <w:rPr>
          <w:rFonts w:ascii="Menlo" w:hAnsi="Menlo" w:cs="Menlo"/>
          <w:sz w:val="25"/>
          <w:sz-cs w:val="25"/>
          <w:spacing w:val="0"/>
          <w:color w:val="181E2A"/>
        </w:rPr>
        <w:t xml:space="preserve">success = true</w:t>
      </w:r>
      <w:r>
        <w:rPr>
          <w:rFonts w:ascii="Helvetica" w:hAnsi="Helvetica" w:cs="Helvetica"/>
          <w:sz w:val="29"/>
          <w:sz-cs w:val="29"/>
          <w:spacing w:val="0"/>
          <w:color w:val="181E2A"/>
        </w:rPr>
        <w:t xml:space="preserve"> avec un </w:t>
      </w:r>
      <w:r>
        <w:rPr>
          <w:rFonts w:ascii="Menlo" w:hAnsi="Menlo" w:cs="Menlo"/>
          <w:sz w:val="25"/>
          <w:sz-cs w:val="25"/>
          <w:spacing w:val="0"/>
          <w:color w:val="181E2A"/>
        </w:rPr>
        <w:t xml:space="preserve">deck_artifact</w:t>
      </w:r>
      <w:r>
        <w:rPr>
          <w:rFonts w:ascii="Helvetica" w:hAnsi="Helvetica" w:cs="Helvetica"/>
          <w:sz w:val="29"/>
          <w:sz-cs w:val="29"/>
          <w:spacing w:val="0"/>
          <w:color w:val="181E2A"/>
        </w:rPr>
        <w:t xml:space="preserve"> contenant </w:t>
      </w:r>
      <w:r>
        <w:rPr>
          <w:rFonts w:ascii="Menlo" w:hAnsi="Menlo" w:cs="Menlo"/>
          <w:sz w:val="25"/>
          <w:sz-cs w:val="25"/>
          <w:spacing w:val="0"/>
          <w:color w:val="181E2A"/>
        </w:rPr>
        <w:t xml:space="preserve">filename_pptx</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pptx_url</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5</w:t>
        <w:tab/>
        <w:t xml:space="preserve"/>
      </w:r>
      <w:r>
        <w:rPr>
          <w:rFonts w:ascii="Helvetica" w:hAnsi="Helvetica" w:cs="Helvetica"/>
          <w:sz w:val="29"/>
          <w:sz-cs w:val="29"/>
          <w:spacing w:val="0"/>
          <w:color w:val="181E2A"/>
        </w:rPr>
        <w:t xml:space="preserve">Vérifier dans les diagnostics du deck que la variante, la langue et le nombre de slides de cas d’usage sont cohérents avec le prospect. Le rendu cible doit rester dans une fourchette de 8 à 10 slides selon la densité du contenu.</w:t>
      </w:r>
    </w:p>
    <w:p>
      <w:pPr>
        <w:ind w:left="720" w:first-line="-720"/>
        <w:spacing w:after="106"/>
      </w:pPr>
      <w:r>
        <w:rPr>
          <w:rFonts w:ascii="Helvetica" w:hAnsi="Helvetica" w:cs="Helvetica"/>
          <w:sz w:val="29"/>
          <w:sz-cs w:val="29"/>
          <w:color w:val="181E2A"/>
        </w:rPr>
        <w:t xml:space="preserve"/>
        <w:tab/>
        <w:t xml:space="preserve">6</w:t>
        <w:tab/>
        <w:t xml:space="preserve"/>
      </w:r>
      <w:r>
        <w:rPr>
          <w:rFonts w:ascii="Helvetica" w:hAnsi="Helvetica" w:cs="Helvetica"/>
          <w:sz w:val="29"/>
          <w:sz-cs w:val="29"/>
          <w:spacing w:val="0"/>
          <w:color w:val="181E2A"/>
        </w:rPr>
        <w:t xml:space="preserve">Vérifier dans </w:t>
      </w:r>
      <w:r>
        <w:rPr>
          <w:rFonts w:ascii="Helvetica" w:hAnsi="Helvetica" w:cs="Helvetica"/>
          <w:sz w:val="29"/>
          <w:sz-cs w:val="29"/>
          <w:b/>
          <w:spacing w:val="0"/>
          <w:color w:val="181E2A"/>
        </w:rPr>
        <w:t xml:space="preserve">Merge Deck Artifact</w:t>
      </w:r>
      <w:r>
        <w:rPr>
          <w:rFonts w:ascii="Helvetica" w:hAnsi="Helvetica" w:cs="Helvetica"/>
          <w:sz w:val="29"/>
          <w:sz-cs w:val="29"/>
          <w:spacing w:val="0"/>
          <w:color w:val="181E2A"/>
        </w:rPr>
        <w:t xml:space="preserve"> que </w:t>
      </w:r>
      <w:r>
        <w:rPr>
          <w:rFonts w:ascii="Menlo" w:hAnsi="Menlo" w:cs="Menlo"/>
          <w:sz w:val="25"/>
          <w:sz-cs w:val="25"/>
          <w:spacing w:val="0"/>
          <w:color w:val="181E2A"/>
        </w:rPr>
        <w:t xml:space="preserve">mail_attachments</w:t>
      </w:r>
      <w:r>
        <w:rPr>
          <w:rFonts w:ascii="Helvetica" w:hAnsi="Helvetica" w:cs="Helvetica"/>
          <w:sz w:val="29"/>
          <w:sz-cs w:val="29"/>
          <w:spacing w:val="0"/>
          <w:color w:val="181E2A"/>
        </w:rPr>
        <w:t xml:space="preserve"> contient exactement deux fichiers : un </w:t>
      </w:r>
      <w:r>
        <w:rPr>
          <w:rFonts w:ascii="Menlo" w:hAnsi="Menlo" w:cs="Menlo"/>
          <w:sz w:val="25"/>
          <w:sz-cs w:val="25"/>
          <w:spacing w:val="0"/>
          <w:color w:val="181E2A"/>
        </w:rPr>
        <w:t xml:space="preserve">.pdf</w:t>
      </w:r>
      <w:r>
        <w:rPr>
          <w:rFonts w:ascii="Helvetica" w:hAnsi="Helvetica" w:cs="Helvetica"/>
          <w:sz w:val="29"/>
          <w:sz-cs w:val="29"/>
          <w:spacing w:val="0"/>
          <w:color w:val="181E2A"/>
        </w:rPr>
        <w:t xml:space="preserve"> et un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7</w:t>
        <w:tab/>
        <w:t xml:space="preserve"/>
      </w:r>
      <w:r>
        <w:rPr>
          <w:rFonts w:ascii="Helvetica" w:hAnsi="Helvetica" w:cs="Helvetica"/>
          <w:sz w:val="29"/>
          <w:sz-cs w:val="29"/>
          <w:spacing w:val="0"/>
          <w:color w:val="181E2A"/>
        </w:rPr>
        <w:t xml:space="preserve">Vérifier que </w:t>
      </w:r>
      <w:r>
        <w:rPr>
          <w:rFonts w:ascii="Helvetica" w:hAnsi="Helvetica" w:cs="Helvetica"/>
          <w:sz w:val="29"/>
          <w:sz-cs w:val="29"/>
          <w:b/>
          <w:spacing w:val="0"/>
          <w:color w:val="181E2A"/>
        </w:rPr>
        <w:t xml:space="preserve">Store Pack In Supabase</w:t>
      </w:r>
      <w:r>
        <w:rPr>
          <w:rFonts w:ascii="Helvetica" w:hAnsi="Helvetica" w:cs="Helvetica"/>
          <w:sz w:val="29"/>
          <w:sz-cs w:val="29"/>
          <w:spacing w:val="0"/>
          <w:color w:val="181E2A"/>
        </w:rPr>
        <w:t xml:space="preserve"> stocke bien </w:t>
      </w:r>
      <w:r>
        <w:rPr>
          <w:rFonts w:ascii="Menlo" w:hAnsi="Menlo" w:cs="Menlo"/>
          <w:sz w:val="25"/>
          <w:sz-cs w:val="25"/>
          <w:spacing w:val="0"/>
          <w:color w:val="181E2A"/>
        </w:rPr>
        <w:t xml:space="preserve">catalogue_artifact</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deck_artifact</w:t>
      </w:r>
      <w:r>
        <w:rPr>
          <w:rFonts w:ascii="Helvetica" w:hAnsi="Helvetica" w:cs="Helvetica"/>
          <w:sz w:val="29"/>
          <w:sz-cs w:val="29"/>
          <w:spacing w:val="0"/>
          <w:color w:val="181E2A"/>
        </w:rPr>
        <w:t xml:space="preserve">, </w:t>
      </w:r>
      <w:r>
        <w:rPr>
          <w:rFonts w:ascii="Menlo" w:hAnsi="Menlo" w:cs="Menlo"/>
          <w:sz w:val="25"/>
          <w:sz-cs w:val="25"/>
          <w:spacing w:val="0"/>
          <w:color w:val="181E2A"/>
        </w:rPr>
        <w:t xml:space="preserve">mail_attachments</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attachments_count = 2</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8</w:t>
        <w:tab/>
        <w:t xml:space="preserve"/>
      </w:r>
      <w:r>
        <w:rPr>
          <w:rFonts w:ascii="Helvetica" w:hAnsi="Helvetica" w:cs="Helvetica"/>
          <w:sz w:val="29"/>
          <w:sz-cs w:val="29"/>
          <w:spacing w:val="0"/>
          <w:color w:val="181E2A"/>
        </w:rPr>
        <w:t xml:space="preserve">Recevoir et relire l’email interne de validation. La ligne </w:t>
      </w:r>
      <w:r>
        <w:rPr>
          <w:rFonts w:ascii="Menlo" w:hAnsi="Menlo" w:cs="Menlo"/>
          <w:sz w:val="25"/>
          <w:sz-cs w:val="25"/>
          <w:spacing w:val="0"/>
          <w:color w:val="181E2A"/>
        </w:rPr>
        <w:t xml:space="preserve">Pièces jointes préparées</w:t>
      </w:r>
      <w:r>
        <w:rPr>
          <w:rFonts w:ascii="Helvetica" w:hAnsi="Helvetica" w:cs="Helvetica"/>
          <w:sz w:val="29"/>
          <w:sz-cs w:val="29"/>
          <w:spacing w:val="0"/>
          <w:color w:val="181E2A"/>
        </w:rPr>
        <w:t xml:space="preserve"> doit afficher </w:t>
      </w:r>
      <w:r>
        <w:rPr>
          <w:rFonts w:ascii="Menlo" w:hAnsi="Menlo" w:cs="Menlo"/>
          <w:sz w:val="25"/>
          <w:sz-cs w:val="25"/>
          <w:spacing w:val="0"/>
          <w:color w:val="181E2A"/>
        </w:rPr>
        <w:t xml:space="preserve">2</w:t>
      </w:r>
      <w:r>
        <w:rPr>
          <w:rFonts w:ascii="Helvetica" w:hAnsi="Helvetica" w:cs="Helvetica"/>
          <w:sz w:val="29"/>
          <w:sz-cs w:val="29"/>
          <w:spacing w:val="0"/>
          <w:color w:val="181E2A"/>
        </w:rPr>
        <w:t xml:space="preserve"> et la ligne </w:t>
      </w:r>
      <w:r>
        <w:rPr>
          <w:rFonts w:ascii="Menlo" w:hAnsi="Menlo" w:cs="Menlo"/>
          <w:sz w:val="25"/>
          <w:sz-cs w:val="25"/>
          <w:spacing w:val="0"/>
          <w:color w:val="181E2A"/>
        </w:rPr>
        <w:t xml:space="preserve">Fichiers</w:t>
      </w:r>
      <w:r>
        <w:rPr>
          <w:rFonts w:ascii="Helvetica" w:hAnsi="Helvetica" w:cs="Helvetica"/>
          <w:sz w:val="29"/>
          <w:sz-cs w:val="29"/>
          <w:spacing w:val="0"/>
          <w:color w:val="181E2A"/>
        </w:rPr>
        <w:t xml:space="preserve"> doit mentionner le PDF puis le PPTX.</w:t>
      </w:r>
    </w:p>
    <w:p>
      <w:pPr>
        <w:ind w:left="720" w:first-line="-720"/>
        <w:spacing w:after="106"/>
      </w:pPr>
      <w:r>
        <w:rPr>
          <w:rFonts w:ascii="Helvetica" w:hAnsi="Helvetica" w:cs="Helvetica"/>
          <w:sz w:val="29"/>
          <w:sz-cs w:val="29"/>
          <w:color w:val="181E2A"/>
        </w:rPr>
        <w:t xml:space="preserve"/>
        <w:tab/>
        <w:t xml:space="preserve">9</w:t>
        <w:tab/>
        <w:t xml:space="preserve"/>
      </w:r>
      <w:r>
        <w:rPr>
          <w:rFonts w:ascii="Helvetica" w:hAnsi="Helvetica" w:cs="Helvetica"/>
          <w:sz w:val="29"/>
          <w:sz-cs w:val="29"/>
          <w:spacing w:val="0"/>
          <w:color w:val="181E2A"/>
        </w:rPr>
        <w:t xml:space="preserve">Approuver uniquement le dernier email reçu.</w:t>
      </w:r>
    </w:p>
    <w:p>
      <w:pPr>
        <w:ind w:left="720" w:first-line="-720"/>
        <w:spacing w:after="106"/>
      </w:pPr>
      <w:r>
        <w:rPr>
          <w:rFonts w:ascii="Helvetica" w:hAnsi="Helvetica" w:cs="Helvetica"/>
          <w:sz w:val="29"/>
          <w:sz-cs w:val="29"/>
          <w:color w:val="181E2A"/>
        </w:rPr>
        <w:t xml:space="preserve"/>
        <w:tab/>
        <w:t xml:space="preserve">10</w:t>
        <w:tab/>
        <w:t xml:space="preserve"/>
      </w:r>
      <w:r>
        <w:rPr>
          <w:rFonts w:ascii="Helvetica" w:hAnsi="Helvetica" w:cs="Helvetica"/>
          <w:sz w:val="29"/>
          <w:sz-cs w:val="29"/>
          <w:spacing w:val="0"/>
          <w:color w:val="181E2A"/>
        </w:rPr>
        <w:t xml:space="preserve">Vérifier la nouvelle exécution webhook dans </w:t>
      </w:r>
      <w:r>
        <w:rPr>
          <w:rFonts w:ascii="Helvetica" w:hAnsi="Helvetica" w:cs="Helvetica"/>
          <w:sz w:val="29"/>
          <w:sz-cs w:val="29"/>
          <w:b/>
          <w:spacing w:val="0"/>
          <w:color w:val="181E2A"/>
        </w:rPr>
        <w:t xml:space="preserve">Executions</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11</w:t>
        <w:tab/>
        <w:t xml:space="preserve"/>
      </w:r>
      <w:r>
        <w:rPr>
          <w:rFonts w:ascii="Helvetica" w:hAnsi="Helvetica" w:cs="Helvetica"/>
          <w:sz w:val="29"/>
          <w:sz-cs w:val="29"/>
          <w:spacing w:val="0"/>
          <w:color w:val="181E2A"/>
        </w:rPr>
        <w:t xml:space="preserve">Vérifier que </w:t>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 retourne </w:t>
      </w:r>
      <w:r>
        <w:rPr>
          <w:rFonts w:ascii="Menlo" w:hAnsi="Menlo" w:cs="Menlo"/>
          <w:sz w:val="25"/>
          <w:sz-cs w:val="25"/>
          <w:spacing w:val="0"/>
          <w:color w:val="181E2A"/>
        </w:rPr>
        <w:t xml:space="preserve">attachments_count = 2</w:t>
      </w:r>
      <w:r>
        <w:rPr>
          <w:rFonts w:ascii="Helvetica" w:hAnsi="Helvetica" w:cs="Helvetica"/>
          <w:sz w:val="29"/>
          <w:sz-cs w:val="29"/>
          <w:spacing w:val="0"/>
          <w:color w:val="181E2A"/>
        </w:rPr>
        <w:t xml:space="preserve"> et </w:t>
      </w:r>
      <w:r>
        <w:rPr>
          <w:rFonts w:ascii="Menlo" w:hAnsi="Menlo" w:cs="Menlo"/>
          <w:sz w:val="25"/>
          <w:sz-cs w:val="25"/>
          <w:spacing w:val="0"/>
          <w:color w:val="181E2A"/>
        </w:rPr>
        <w:t xml:space="preserve">can_send = true</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12</w:t>
        <w:tab/>
        <w:t xml:space="preserve"/>
      </w:r>
      <w:r>
        <w:rPr>
          <w:rFonts w:ascii="Helvetica" w:hAnsi="Helvetica" w:cs="Helvetica"/>
          <w:sz w:val="29"/>
          <w:sz-cs w:val="29"/>
          <w:spacing w:val="0"/>
          <w:color w:val="181E2A"/>
        </w:rPr>
        <w:t xml:space="preserve">Vérifier la réponse de </w:t>
      </w:r>
      <w:r>
        <w:rPr>
          <w:rFonts w:ascii="Helvetica" w:hAnsi="Helvetica" w:cs="Helvetica"/>
          <w:sz w:val="29"/>
          <w:sz-cs w:val="29"/>
          <w:b/>
          <w:spacing w:val="0"/>
          <w:color w:val="181E2A"/>
        </w:rPr>
        <w:t xml:space="preserve">Send External Prospect Email</w:t>
      </w:r>
      <w:r>
        <w:rPr>
          <w:rFonts w:ascii="Helvetica" w:hAnsi="Helvetica" w:cs="Helvetica"/>
          <w:sz w:val="29"/>
          <w:sz-cs w:val="29"/>
          <w:spacing w:val="0"/>
          <w:color w:val="181E2A"/>
        </w:rPr>
        <w:t xml:space="preserve">.</w:t>
      </w:r>
    </w:p>
    <w:p>
      <w:pPr>
        <w:spacing w:after="160"/>
      </w:pPr>
      <w:r>
        <w:rPr>
          <w:rFonts w:ascii="Helvetica" w:hAnsi="Helvetica" w:cs="Helvetica"/>
          <w:sz w:val="32"/>
          <w:sz-cs w:val="32"/>
          <w:b/>
          <w:spacing w:val="0"/>
          <w:color w:val="0F3A6E"/>
        </w:rPr>
        <w:t xml:space="preserve">7.4 Règles de qualité du deck premium</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deck V3 doit être lisible à la première lecture, sans chevauchement de texte ni zones saturées.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structure cible est dynamique : couverture, agenda, crédibilité, enjeux, une ou deux slides de cas d’usage, ROI, trajectoire 90 jours, clôture. Le total attendu est de 8 à 10 slides selon la matière disponible.</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Pour un prospect francophone, les accents doivent apparaître dans tous les textes statiques et dynamiques visibles du deck.</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Pour un prospect anglophone ou hispanophone, le renderer doit basculer vers un anglais standard ou un espagnol standard avec accents, sans mélange de langues.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deck doit reprendre les fallbacks sectoriels premium, en particulier le fallback Orange quand l’organisation cible correspond à Orange.</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Quand le contenu est trop dense, le renderer doit raccourcir les blocs, limiter les listes et répartir les cas d’usage sur une slide supplémentaire au lieu de tasser le texte.</w:t>
      </w:r>
    </w:p>
    <w:p>
      <w:pPr>
        <w:spacing w:after="160"/>
      </w:pPr>
      <w:r>
        <w:rPr>
          <w:rFonts w:ascii="Helvetica" w:hAnsi="Helvetica" w:cs="Helvetica"/>
          <w:sz w:val="37"/>
          <w:sz-cs w:val="37"/>
          <w:b/>
          <w:spacing w:val="0"/>
          <w:color w:val="0F3A6E"/>
        </w:rPr>
        <w:t xml:space="preserve">8. Procedure de lecture des executions</w:t>
      </w:r>
    </w:p>
    <w:p>
      <w:pPr>
        <w:spacing w:after="213"/>
      </w:pPr>
      <w:r>
        <w:rPr>
          <w:rFonts w:ascii="Helvetica" w:hAnsi="Helvetica" w:cs="Helvetica"/>
          <w:sz w:val="29"/>
          <w:sz-cs w:val="29"/>
          <w:spacing w:val="0"/>
          <w:color w:val="181E2A"/>
        </w:rPr>
        <w:t xml:space="preserve">Les validations les plus fiables se font dans </w:t>
      </w:r>
      <w:r>
        <w:rPr>
          <w:rFonts w:ascii="Helvetica" w:hAnsi="Helvetica" w:cs="Helvetica"/>
          <w:sz w:val="29"/>
          <w:sz-cs w:val="29"/>
          <w:b/>
          <w:spacing w:val="0"/>
          <w:color w:val="181E2A"/>
        </w:rPr>
        <w:t xml:space="preserve">Executions</w:t>
      </w:r>
      <w:r>
        <w:rPr>
          <w:rFonts w:ascii="Helvetica" w:hAnsi="Helvetica" w:cs="Helvetica"/>
          <w:sz w:val="29"/>
          <w:sz-cs w:val="29"/>
          <w:spacing w:val="0"/>
          <w:color w:val="181E2A"/>
        </w:rPr>
        <w:t xml:space="preserve">, pas seulement dans l editeur de noeuds.</w:t>
      </w:r>
    </w:p>
    <w:p>
      <w:pPr>
        <w:ind w:left="720" w:first-line="-720"/>
        <w:spacing w:after="106"/>
      </w:pPr>
      <w:r>
        <w:rPr>
          <w:rFonts w:ascii="Helvetica" w:hAnsi="Helvetica" w:cs="Helvetica"/>
          <w:sz w:val="29"/>
          <w:sz-cs w:val="29"/>
          <w:color w:val="181E2A"/>
        </w:rPr>
        <w:t xml:space="preserve"/>
        <w:tab/>
        <w:t xml:space="preserve">1</w:t>
        <w:tab/>
        <w:t xml:space="preserve"/>
      </w:r>
      <w:r>
        <w:rPr>
          <w:rFonts w:ascii="Helvetica" w:hAnsi="Helvetica" w:cs="Helvetica"/>
          <w:sz w:val="29"/>
          <w:sz-cs w:val="29"/>
          <w:spacing w:val="0"/>
          <w:color w:val="181E2A"/>
        </w:rPr>
        <w:t xml:space="preserve">Ouvrir la derniere execution du workflow principal apres generation.</w:t>
      </w:r>
    </w:p>
    <w:p>
      <w:pPr>
        <w:ind w:left="720" w:first-line="-720"/>
        <w:spacing w:after="106"/>
      </w:pPr>
      <w:r>
        <w:rPr>
          <w:rFonts w:ascii="Helvetica" w:hAnsi="Helvetica" w:cs="Helvetica"/>
          <w:sz w:val="29"/>
          <w:sz-cs w:val="29"/>
          <w:color w:val="181E2A"/>
        </w:rPr>
        <w:t xml:space="preserve"/>
        <w:tab/>
        <w:t xml:space="preserve">2</w:t>
        <w:tab/>
        <w:t xml:space="preserve"/>
      </w:r>
      <w:r>
        <w:rPr>
          <w:rFonts w:ascii="Helvetica" w:hAnsi="Helvetica" w:cs="Helvetica"/>
          <w:sz w:val="29"/>
          <w:sz-cs w:val="29"/>
          <w:spacing w:val="0"/>
          <w:color w:val="181E2A"/>
        </w:rPr>
        <w:t xml:space="preserve">Ouvrir la derniere execution webhook apres clic sur </w:t>
      </w:r>
      <w:r>
        <w:rPr>
          <w:rFonts w:ascii="Helvetica" w:hAnsi="Helvetica" w:cs="Helvetica"/>
          <w:sz w:val="29"/>
          <w:sz-cs w:val="29"/>
          <w:i/>
          <w:spacing w:val="0"/>
          <w:color w:val="181E2A"/>
        </w:rPr>
        <w:t xml:space="preserve">Approuver et envoyer</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3</w:t>
        <w:tab/>
        <w:t xml:space="preserve"/>
      </w:r>
      <w:r>
        <w:rPr>
          <w:rFonts w:ascii="Helvetica" w:hAnsi="Helvetica" w:cs="Helvetica"/>
          <w:sz w:val="29"/>
          <w:sz-cs w:val="29"/>
          <w:spacing w:val="0"/>
          <w:color w:val="181E2A"/>
        </w:rPr>
        <w:t xml:space="preserve">Verifier la branche </w:t>
      </w:r>
      <w:r>
        <w:rPr>
          <w:rFonts w:ascii="Menlo" w:hAnsi="Menlo" w:cs="Menlo"/>
          <w:sz w:val="25"/>
          <w:sz-cs w:val="25"/>
          <w:spacing w:val="0"/>
          <w:color w:val="181E2A"/>
        </w:rPr>
        <w:t xml:space="preserve">true</w:t>
      </w:r>
      <w:r>
        <w:rPr>
          <w:rFonts w:ascii="Helvetica" w:hAnsi="Helvetica" w:cs="Helvetica"/>
          <w:sz w:val="29"/>
          <w:sz-cs w:val="29"/>
          <w:spacing w:val="0"/>
          <w:color w:val="181E2A"/>
        </w:rPr>
        <w:t xml:space="preserve"> dans </w:t>
      </w:r>
      <w:r>
        <w:rPr>
          <w:rFonts w:ascii="Helvetica" w:hAnsi="Helvetica" w:cs="Helvetica"/>
          <w:sz w:val="29"/>
          <w:sz-cs w:val="29"/>
          <w:b/>
          <w:spacing w:val="0"/>
          <w:color w:val="181E2A"/>
        </w:rPr>
        <w:t xml:space="preserve">If Approved</w:t>
      </w:r>
      <w:r>
        <w:rPr>
          <w:rFonts w:ascii="Helvetica" w:hAnsi="Helvetica" w:cs="Helvetica"/>
          <w:sz w:val="29"/>
          <w:sz-cs w:val="29"/>
          <w:spacing w:val="0"/>
          <w:color w:val="181E2A"/>
        </w:rPr>
        <w:t xml:space="preserve"> et </w:t>
      </w:r>
      <w:r>
        <w:rPr>
          <w:rFonts w:ascii="Helvetica" w:hAnsi="Helvetica" w:cs="Helvetica"/>
          <w:sz w:val="29"/>
          <w:sz-cs w:val="29"/>
          <w:b/>
          <w:spacing w:val="0"/>
          <w:color w:val="181E2A"/>
        </w:rPr>
        <w:t xml:space="preserve">If Ready To Send</w:t>
      </w:r>
      <w:r>
        <w:rPr>
          <w:rFonts w:ascii="Helvetica" w:hAnsi="Helvetica" w:cs="Helvetica"/>
          <w:sz w:val="29"/>
          <w:sz-cs w:val="29"/>
          <w:spacing w:val="0"/>
          <w:color w:val="181E2A"/>
        </w:rPr>
        <w:t xml:space="preserve">.</w:t>
      </w:r>
    </w:p>
    <w:p>
      <w:pPr>
        <w:ind w:left="720" w:first-line="-720"/>
        <w:spacing w:after="106"/>
      </w:pPr>
      <w:r>
        <w:rPr>
          <w:rFonts w:ascii="Helvetica" w:hAnsi="Helvetica" w:cs="Helvetica"/>
          <w:sz w:val="29"/>
          <w:sz-cs w:val="29"/>
          <w:color w:val="181E2A"/>
        </w:rPr>
        <w:t xml:space="preserve"/>
        <w:tab/>
        <w:t xml:space="preserve">4</w:t>
        <w:tab/>
        <w:t xml:space="preserve"/>
      </w:r>
      <w:r>
        <w:rPr>
          <w:rFonts w:ascii="Helvetica" w:hAnsi="Helvetica" w:cs="Helvetica"/>
          <w:sz w:val="29"/>
          <w:sz-cs w:val="29"/>
          <w:spacing w:val="0"/>
          <w:color w:val="181E2A"/>
        </w:rPr>
        <w:t xml:space="preserve">Verifier le nombre de pieces jointes dans </w:t>
      </w:r>
      <w:r>
        <w:rPr>
          <w:rFonts w:ascii="Helvetica" w:hAnsi="Helvetica" w:cs="Helvetica"/>
          <w:sz w:val="29"/>
          <w:sz-cs w:val="29"/>
          <w:b/>
          <w:spacing w:val="0"/>
          <w:color w:val="181E2A"/>
        </w:rPr>
        <w:t xml:space="preserve">Build Send Context</w:t>
      </w:r>
      <w:r>
        <w:rPr>
          <w:rFonts w:ascii="Helvetica" w:hAnsi="Helvetica" w:cs="Helvetica"/>
          <w:sz w:val="29"/>
          <w:sz-cs w:val="29"/>
          <w:spacing w:val="0"/>
          <w:color w:val="181E2A"/>
        </w:rPr>
        <w:t xml:space="preserve">.</w:t>
      </w:r>
    </w:p>
    <w:p>
      <w:pPr>
        <w:spacing w:after="160"/>
      </w:pPr>
      <w:r>
        <w:rPr>
          <w:rFonts w:ascii="Helvetica" w:hAnsi="Helvetica" w:cs="Helvetica"/>
          <w:sz w:val="37"/>
          <w:sz-cs w:val="37"/>
          <w:b/>
          <w:spacing w:val="0"/>
          <w:color w:val="0F3A6E"/>
        </w:rPr>
        <w:t xml:space="preserve">9. État actuellement validé</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catalogue est généré dynamiquement par pack.</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PDF et le DOCX sont stockés dans le bucket public </w:t>
      </w:r>
      <w:r>
        <w:rPr>
          <w:rFonts w:ascii="Menlo" w:hAnsi="Menlo" w:cs="Menlo"/>
          <w:sz w:val="25"/>
          <w:sz-cs w:val="25"/>
          <w:spacing w:val="0"/>
          <w:color w:val="181E2A"/>
        </w:rPr>
        <w:t xml:space="preserve">prospecting-artifacts</w:t>
      </w:r>
      <w:r>
        <w:rPr>
          <w:rFonts w:ascii="Helvetica" w:hAnsi="Helvetica" w:cs="Helvetica"/>
          <w:sz w:val="29"/>
          <w:sz-cs w:val="29"/>
          <w:spacing w:val="0"/>
          <w:color w:val="181E2A"/>
        </w:rPr>
        <w:t xml:space="preserv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renderer catalogue utilise bien </w:t>
      </w:r>
      <w:r>
        <w:rPr>
          <w:rFonts w:ascii="Menlo" w:hAnsi="Menlo" w:cs="Menlo"/>
          <w:sz w:val="25"/>
          <w:sz-cs w:val="25"/>
          <w:spacing w:val="0"/>
          <w:color w:val="181E2A"/>
        </w:rPr>
        <w:t xml:space="preserve">tailored_catalogue_markdown</w:t>
      </w:r>
      <w:r>
        <w:rPr>
          <w:rFonts w:ascii="Helvetica" w:hAnsi="Helvetica" w:cs="Helvetica"/>
          <w:sz w:val="29"/>
          <w:sz-cs w:val="29"/>
          <w:spacing w:val="0"/>
          <w:color w:val="181E2A"/>
        </w:rPr>
        <w:t xml:space="preserv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deck est généré en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par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 stocké dans le même bucket et renvoyé comme seconde pièce jointe finale du pack.</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formulaire d’audit est en ligne et n’est plus joint.</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circuit approbation interne puis envoi prospect est stable en test avec deux pièces jointes finales.</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résumé d’approbation interne reflète désormais </w:t>
      </w:r>
      <w:r>
        <w:rPr>
          <w:rFonts w:ascii="Menlo" w:hAnsi="Menlo" w:cs="Menlo"/>
          <w:sz w:val="25"/>
          <w:sz-cs w:val="25"/>
          <w:spacing w:val="0"/>
          <w:color w:val="181E2A"/>
        </w:rPr>
        <w:t xml:space="preserve">attachments_count</w:t>
      </w:r>
      <w:r>
        <w:rPr>
          <w:rFonts w:ascii="Helvetica" w:hAnsi="Helvetica" w:cs="Helvetica"/>
          <w:sz w:val="29"/>
          <w:sz-cs w:val="29"/>
          <w:spacing w:val="0"/>
          <w:color w:val="181E2A"/>
        </w:rPr>
        <w:t xml:space="preserve">, le nom des fichiers joints et les meilleurs fallbacks commerciaux disponibles.</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Quand le décideur n’est pas encore connu, le courrier prospect évite autant que possible d’exposer brut le placeholder </w:t>
      </w:r>
      <w:r>
        <w:rPr>
          <w:rFonts w:ascii="Menlo" w:hAnsi="Menlo" w:cs="Menlo"/>
          <w:sz w:val="25"/>
          <w:sz-cs w:val="25"/>
          <w:spacing w:val="0"/>
          <w:color w:val="181E2A"/>
        </w:rPr>
        <w:t xml:space="preserve">Décideur à confirmer</w:t>
      </w:r>
      <w:r>
        <w:rPr>
          <w:rFonts w:ascii="Helvetica" w:hAnsi="Helvetica" w:cs="Helvetica"/>
          <w:sz w:val="29"/>
          <w:sz-cs w:val="29"/>
          <w:spacing w:val="0"/>
          <w:color w:val="181E2A"/>
        </w:rPr>
        <w:t xml:space="preserve">.</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renderer deck premium gère désormais la localisation FR / EN / ES, les accents visibles, la réduction intelligente des CTA et la répartition dynamique des cas d’usage pour limiter les chevauchements.</w:t>
      </w:r>
      <w:r>
        <w:rPr>
          <w:rFonts w:ascii="Helvetica" w:hAnsi="Helvetica" w:cs="Helvetica"/>
          <w:sz w:val="29"/>
          <w:sz-cs w:val="29"/>
          <w:spacing w:val="0"/>
          <w:color w:val="181E2A"/>
        </w:rPr>
        <w:t xml:space="preserve"/>
      </w:r>
    </w:p>
    <w:p>
      <w:pPr>
        <w:spacing w:after="160"/>
      </w:pPr>
      <w:r>
        <w:rPr>
          <w:rFonts w:ascii="Helvetica" w:hAnsi="Helvetica" w:cs="Helvetica"/>
          <w:sz w:val="37"/>
          <w:sz-cs w:val="37"/>
          <w:b/>
          <w:spacing w:val="0"/>
          <w:color w:val="0F3A6E"/>
        </w:rPr>
        <w:t xml:space="preserve">10. Pièces jointes actuellement envoyées</w:t>
      </w:r>
    </w:p>
    <w:p>
      <w:pPr>
        <w:ind w:left="720" w:first-line="-720"/>
        <w:spacing w:after="10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Mini_Catalogue_TransferAI_[Prospect].pdf</w:t>
      </w:r>
      <w:r>
        <w:rPr>
          <w:rFonts w:ascii="Helvetica" w:hAnsi="Helvetica" w:cs="Helvetica"/>
          <w:sz w:val="29"/>
          <w:sz-cs w:val="29"/>
          <w:spacing w:val="0"/>
          <w:color w:val="181E2A"/>
        </w:rPr>
        <w:t xml:space="preserve"> : livrable généré par pack via </w:t>
      </w:r>
      <w:r>
        <w:rPr>
          <w:rFonts w:ascii="Menlo" w:hAnsi="Menlo" w:cs="Menlo"/>
          <w:sz w:val="25"/>
          <w:sz-cs w:val="25"/>
          <w:spacing w:val="0"/>
          <w:color w:val="181E2A"/>
        </w:rPr>
        <w:t xml:space="preserve">catalogue-renderer</w:t>
      </w:r>
      <w:r>
        <w:rPr>
          <w:rFonts w:ascii="Helvetica" w:hAnsi="Helvetica" w:cs="Helvetica"/>
          <w:sz w:val="29"/>
          <w:sz-cs w:val="29"/>
          <w:spacing w:val="0"/>
          <w:color w:val="181E2A"/>
        </w:rPr>
        <w:t xml:space="preserve">.</w:t>
      </w:r>
    </w:p>
    <w:p>
      <w:pPr>
        <w:ind w:left="720" w:first-line="-720"/>
        <w:spacing w:after="106"/>
      </w:pPr>
      <w:r>
        <w:rPr>
          <w:rFonts w:ascii="Menlo" w:hAnsi="Menlo" w:cs="Menlo"/>
          <w:sz w:val="25"/>
          <w:sz-cs w:val="25"/>
          <w:color w:val="181E2A"/>
        </w:rPr>
        <w:t xml:space="preserve"/>
        <w:tab/>
        <w:t xml:space="preserve">•</w:t>
        <w:tab/>
        <w:t xml:space="preserve"/>
      </w:r>
      <w:r>
        <w:rPr>
          <w:rFonts w:ascii="Menlo" w:hAnsi="Menlo" w:cs="Menlo"/>
          <w:sz w:val="25"/>
          <w:sz-cs w:val="25"/>
          <w:spacing w:val="0"/>
          <w:color w:val="181E2A"/>
        </w:rPr>
        <w:t xml:space="preserve">Deck_TransferAI_[Prospect].pptx</w:t>
      </w:r>
      <w:r>
        <w:rPr>
          <w:rFonts w:ascii="Helvetica" w:hAnsi="Helvetica" w:cs="Helvetica"/>
          <w:sz w:val="29"/>
          <w:sz-cs w:val="29"/>
          <w:spacing w:val="0"/>
          <w:color w:val="181E2A"/>
        </w:rPr>
        <w:t xml:space="preserve"> : livrable généré par pack via </w:t>
      </w:r>
      <w:r>
        <w:rPr>
          <w:rFonts w:ascii="Menlo" w:hAnsi="Menlo" w:cs="Menlo"/>
          <w:sz w:val="25"/>
          <w:sz-cs w:val="25"/>
          <w:spacing w:val="0"/>
          <w:color w:val="181E2A"/>
        </w:rPr>
        <w:t xml:space="preserve">deck-renderer</w:t>
      </w:r>
      <w:r>
        <w:rPr>
          <w:rFonts w:ascii="Helvetica" w:hAnsi="Helvetica" w:cs="Helvetica"/>
          <w:sz w:val="29"/>
          <w:sz-cs w:val="29"/>
          <w:spacing w:val="0"/>
          <w:color w:val="181E2A"/>
        </w:rPr>
        <w:t xml:space="preserve">.</w:t>
      </w:r>
    </w:p>
    <w:p>
      <w:pPr>
        <w:spacing w:after="213"/>
      </w:pPr>
      <w:r>
        <w:rPr>
          <w:rFonts w:ascii="Helvetica" w:hAnsi="Helvetica" w:cs="Helvetica"/>
          <w:sz w:val="29"/>
          <w:sz-cs w:val="29"/>
          <w:spacing w:val="0"/>
          <w:color w:val="181E2A"/>
        </w:rPr>
        <w:t xml:space="preserve">Le formulaire d’audit ne doit plus apparaître en pièce jointe. Le flux d’envoi cible ne doit plus produire </w:t>
      </w:r>
      <w:r>
        <w:rPr>
          <w:rFonts w:ascii="Menlo" w:hAnsi="Menlo" w:cs="Menlo"/>
          <w:sz w:val="25"/>
          <w:sz-cs w:val="25"/>
          <w:spacing w:val="0"/>
          <w:color w:val="181E2A"/>
        </w:rPr>
        <w:t xml:space="preserve">Deck_Brief_[Prospect].json</w:t>
      </w:r>
      <w:r>
        <w:rPr>
          <w:rFonts w:ascii="Helvetica" w:hAnsi="Helvetica" w:cs="Helvetica"/>
          <w:sz w:val="29"/>
          <w:sz-cs w:val="29"/>
          <w:spacing w:val="0"/>
          <w:color w:val="181E2A"/>
        </w:rPr>
        <w:t xml:space="preserve">.</w:t>
      </w:r>
    </w:p>
    <w:p>
      <w:pPr>
        <w:spacing w:after="160"/>
      </w:pPr>
      <w:r>
        <w:rPr>
          <w:rFonts w:ascii="Helvetica" w:hAnsi="Helvetica" w:cs="Helvetica"/>
          <w:sz w:val="37"/>
          <w:sz-cs w:val="37"/>
          <w:b/>
          <w:spacing w:val="0"/>
          <w:color w:val="0F3A6E"/>
        </w:rPr>
        <w:t xml:space="preserve">11. Regles commerciales et d exploitation</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V4 pilote les quotas quotidiens et les regles d arret.</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La V5 grossit la base CRM sans envoyer elle-meme les courriers.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Le flux V3 doit rester reserve aux prospects valides et eligibles.</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Ne pas augmenter les volumes tant que les boucles de reponse et les signaux de niche ne sont pas stabilises.</w:t>
      </w:r>
    </w:p>
    <w:p>
      <w:pPr>
        <w:spacing w:after="160"/>
      </w:pPr>
      <w:r>
        <w:rPr>
          <w:rFonts w:ascii="Helvetica" w:hAnsi="Helvetica" w:cs="Helvetica"/>
          <w:sz w:val="37"/>
          <w:sz-cs w:val="37"/>
          <w:b/>
          <w:spacing w:val="0"/>
          <w:color w:val="0F3A6E"/>
        </w:rPr>
        <w:t xml:space="preserve">12. Guide d exploitation du back-office</w:t>
      </w:r>
    </w:p>
    <w:p>
      <w:pPr>
        <w:spacing w:after="213"/>
      </w:pPr>
      <w:r>
        <w:rPr>
          <w:rFonts w:ascii="Helvetica" w:hAnsi="Helvetica" w:cs="Helvetica"/>
          <w:sz w:val="29"/>
          <w:sz-cs w:val="29"/>
          <w:spacing w:val="0"/>
          <w:color w:val="181E2A"/>
        </w:rPr>
        <w:t xml:space="preserve">L administrateur No1 garantit la coherence operationnelle. Les zones cle du back-office et de l ecosysteme sont :</w:t>
      </w:r>
    </w:p>
    <w:p>
      <w:pPr>
        <w:ind w:left="720" w:first-line="-720"/>
        <w:spacing w:after="106"/>
      </w:pPr>
      <w:r>
        <w:rPr>
          <w:rFonts w:ascii="Helvetica" w:hAnsi="Helvetica" w:cs="Helvetica"/>
          <w:sz w:val="29"/>
          <w:sz-cs w:val="29"/>
          <w:b/>
          <w:color w:val="181E2A"/>
        </w:rPr>
        <w:t xml:space="preserve"/>
        <w:tab/>
        <w:t xml:space="preserve">•</w:t>
        <w:tab/>
        <w:t xml:space="preserve"/>
      </w:r>
      <w:r>
        <w:rPr>
          <w:rFonts w:ascii="Helvetica" w:hAnsi="Helvetica" w:cs="Helvetica"/>
          <w:sz w:val="29"/>
          <w:sz-cs w:val="29"/>
          <w:b/>
          <w:spacing w:val="0"/>
          <w:color w:val="181E2A"/>
        </w:rPr>
        <w:t xml:space="preserve">Ressources</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Brouillons IA</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Capsules video</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Newsletter IA</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Partenaires IA</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Emplois IA</w:t>
      </w:r>
      <w:r>
        <w:rPr>
          <w:rFonts w:ascii="Helvetica" w:hAnsi="Helvetica" w:cs="Helvetica"/>
          <w:sz w:val="29"/>
          <w:sz-cs w:val="29"/>
          <w:spacing w:val="0"/>
          <w:color w:val="181E2A"/>
        </w:rPr>
        <w:t xml:space="preserve">, </w:t>
      </w:r>
      <w:r>
        <w:rPr>
          <w:rFonts w:ascii="Helvetica" w:hAnsi="Helvetica" w:cs="Helvetica"/>
          <w:sz w:val="29"/>
          <w:sz-cs w:val="29"/>
          <w:b/>
          <w:spacing w:val="0"/>
          <w:color w:val="181E2A"/>
        </w:rPr>
        <w:t xml:space="preserve">WhatsApp</w:t>
      </w:r>
      <w:r>
        <w:rPr>
          <w:rFonts w:ascii="Helvetica" w:hAnsi="Helvetica" w:cs="Helvetica"/>
          <w:sz w:val="29"/>
          <w:sz-cs w:val="29"/>
          <w:spacing w:val="0"/>
          <w:color w:val="181E2A"/>
        </w:rPr>
        <w:t xml:space="preserve"/>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Supabase : Table Editor, Edge Functions, Secrets, SQL Editor</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Twilio : messages WhatsApp et journalisation</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Chatwoot : inbox web et orchestration support / assistant IA</w:t>
      </w:r>
    </w:p>
    <w:p>
      <w:pPr>
        <w:ind w:left="720" w:first-line="-720"/>
        <w:spacing w:after="106"/>
      </w:pPr>
      <w:r>
        <w:rPr>
          <w:rFonts w:ascii="Helvetica" w:hAnsi="Helvetica" w:cs="Helvetica"/>
          <w:sz w:val="29"/>
          <w:sz-cs w:val="29"/>
          <w:color w:val="181E2A"/>
        </w:rPr>
        <w:t xml:space="preserve"/>
        <w:tab/>
        <w:t xml:space="preserve">•</w:t>
        <w:tab/>
        <w:t xml:space="preserve"/>
      </w:r>
      <w:r>
        <w:rPr>
          <w:rFonts w:ascii="Helvetica" w:hAnsi="Helvetica" w:cs="Helvetica"/>
          <w:sz w:val="29"/>
          <w:sz-cs w:val="29"/>
          <w:spacing w:val="0"/>
          <w:color w:val="181E2A"/>
        </w:rPr>
        <w:t xml:space="preserve">GitHub + Cloudflare : diffusion front public</w:t>
      </w:r>
    </w:p>
    <w:p>
      <w:pPr>
        <w:spacing w:after="160"/>
      </w:pPr>
      <w:r>
        <w:rPr>
          <w:rFonts w:ascii="Helvetica" w:hAnsi="Helvetica" w:cs="Helvetica"/>
          <w:sz w:val="37"/>
          <w:sz-cs w:val="37"/>
          <w:b/>
          <w:spacing w:val="0"/>
          <w:color w:val="0F3A6E"/>
        </w:rPr>
        <w:t xml:space="preserve">13. Checklist avant production</w:t>
      </w:r>
    </w:p>
    <w:p>
      <w:pPr/>
      <w:r>
        <w:rPr>
          <w:rFonts w:ascii="Helvetica" w:hAnsi="Helvetica" w:cs="Helvetica"/>
          <w:sz w:val="29"/>
          <w:sz-cs w:val="29"/>
          <w:b/>
          <w:spacing w:val="0"/>
          <w:color w:val="181E2A"/>
        </w:rPr>
        <w:t xml:space="preserve">Tache</w:t>
      </w:r>
    </w:p>
    <w:p>
      <w:pPr/>
      <w:r>
        <w:rPr>
          <w:rFonts w:ascii="Helvetica" w:hAnsi="Helvetica" w:cs="Helvetica"/>
          <w:sz w:val="29"/>
          <w:sz-cs w:val="29"/>
          <w:b/>
          <w:spacing w:val="0"/>
          <w:color w:val="181E2A"/>
        </w:rPr>
        <w:t xml:space="preserve">Priorite</w:t>
      </w:r>
    </w:p>
    <w:p>
      <w:pPr/>
      <w:r>
        <w:rPr>
          <w:rFonts w:ascii="Helvetica" w:hAnsi="Helvetica" w:cs="Helvetica"/>
          <w:sz w:val="29"/>
          <w:sz-cs w:val="29"/>
          <w:spacing w:val="0"/>
          <w:color w:val="181E2A"/>
        </w:rPr>
        <w:t xml:space="preserve">Rendre le formulaire d audit reellement dynamique via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Urgent</w:t>
      </w:r>
    </w:p>
    <w:p>
      <w:pPr/>
      <w:r>
        <w:rPr>
          <w:rFonts w:ascii="Helvetica" w:hAnsi="Helvetica" w:cs="Helvetica"/>
          <w:sz w:val="29"/>
          <w:sz-cs w:val="29"/>
          <w:spacing w:val="0"/>
          <w:color w:val="181E2A"/>
        </w:rPr>
        <w:t xml:space="preserve">Valider le rendu </w:t>
      </w:r>
      <w:r>
        <w:rPr>
          <w:rFonts w:ascii="Menlo" w:hAnsi="Menlo" w:cs="Menlo"/>
          <w:sz w:val="25"/>
          <w:sz-cs w:val="25"/>
          <w:spacing w:val="0"/>
          <w:color w:val="181E2A"/>
        </w:rPr>
        <w:t xml:space="preserve">.pptx</w:t>
      </w:r>
      <w:r>
        <w:rPr>
          <w:rFonts w:ascii="Helvetica" w:hAnsi="Helvetica" w:cs="Helvetica"/>
          <w:sz w:val="29"/>
          <w:sz-cs w:val="29"/>
          <w:spacing w:val="0"/>
          <w:color w:val="181E2A"/>
        </w:rPr>
        <w:t xml:space="preserve"> premium sur plusieurs profils de prospect et plusieurs langues, avec contrôle visuel slide par slide</w:t>
      </w:r>
    </w:p>
    <w:p>
      <w:pPr/>
      <w:r>
        <w:rPr>
          <w:rFonts w:ascii="Helvetica" w:hAnsi="Helvetica" w:cs="Helvetica"/>
          <w:sz w:val="29"/>
          <w:sz-cs w:val="29"/>
          <w:spacing w:val="0"/>
          <w:color w:val="181E2A"/>
        </w:rPr>
        <w:t xml:space="preserve">Urgent</w:t>
      </w:r>
    </w:p>
    <w:p>
      <w:pPr/>
      <w:r>
        <w:rPr>
          <w:rFonts w:ascii="Helvetica" w:hAnsi="Helvetica" w:cs="Helvetica"/>
          <w:sz w:val="29"/>
          <w:sz-cs w:val="29"/>
          <w:spacing w:val="0"/>
          <w:color w:val="181E2A"/>
        </w:rPr>
        <w:t xml:space="preserve">Verifier le domaine Resend et migrer vers </w:t>
      </w:r>
      <w:r>
        <w:rPr>
          <w:rFonts w:ascii="Menlo" w:hAnsi="Menlo" w:cs="Menlo"/>
          <w:sz w:val="25"/>
          <w:sz-cs w:val="25"/>
          <w:spacing w:val="0"/>
          <w:color w:val="181E2A"/>
        </w:rPr>
        <w:t xml:space="preserve">noreply@transferai.ci</w:t>
      </w:r>
      <w:r>
        <w:rPr>
          <w:rFonts w:ascii="Helvetica" w:hAnsi="Helvetica" w:cs="Helvetica"/>
          <w:sz w:val="29"/>
          <w:sz-cs w:val="29"/>
          <w:spacing w:val="0"/>
          <w:color w:val="181E2A"/>
        </w:rPr>
        <w:t xml:space="preserve"/>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Retirer le Gmail de test et la cible de demonstration</w:t>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Tester francais, anglais et espagnol sur des cas reels distincts</w:t>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Vérifier régulièrement le fallback Orange et les autres fallbacks sectoriels premium après chaque évolution du renderer</w:t>
      </w:r>
    </w:p>
    <w:p>
      <w:pPr/>
      <w:r>
        <w:rPr>
          <w:rFonts w:ascii="Helvetica" w:hAnsi="Helvetica" w:cs="Helvetica"/>
          <w:sz w:val="29"/>
          <w:sz-cs w:val="29"/>
          <w:spacing w:val="0"/>
          <w:color w:val="181E2A"/>
        </w:rPr>
        <w:t xml:space="preserve">Important</w:t>
      </w:r>
    </w:p>
    <w:p>
      <w:pPr/>
      <w:r>
        <w:rPr>
          <w:rFonts w:ascii="Helvetica" w:hAnsi="Helvetica" w:cs="Helvetica"/>
          <w:sz w:val="29"/>
          <w:sz-cs w:val="29"/>
          <w:spacing w:val="0"/>
          <w:color w:val="181E2A"/>
        </w:rPr>
        <w:t xml:space="preserve">Verifier le CRM growth loop V5 et les quotas V4 en conditions reelles</w:t>
      </w:r>
    </w:p>
    <w:p>
      <w:pPr/>
      <w:r>
        <w:rPr>
          <w:rFonts w:ascii="Helvetica" w:hAnsi="Helvetica" w:cs="Helvetica"/>
          <w:sz w:val="29"/>
          <w:sz-cs w:val="29"/>
          <w:spacing w:val="0"/>
          <w:color w:val="181E2A"/>
        </w:rPr>
        <w:t xml:space="preserve">Normal</w:t>
      </w:r>
    </w:p>
    <w:p>
      <w:pPr>
        <w:spacing w:after="160"/>
      </w:pPr>
      <w:r>
        <w:rPr>
          <w:rFonts w:ascii="Helvetica" w:hAnsi="Helvetica" w:cs="Helvetica"/>
          <w:sz w:val="37"/>
          <w:sz-cs w:val="37"/>
          <w:b/>
          <w:spacing w:val="0"/>
          <w:color w:val="0F3A6E"/>
        </w:rPr>
        <w:t xml:space="preserve">14. Resume de reference</w:t>
      </w:r>
    </w:p>
    <w:p>
      <w:pPr>
        <w:spacing w:after="213"/>
      </w:pPr>
      <w:r>
        <w:rPr>
          <w:rFonts w:ascii="Helvetica" w:hAnsi="Helvetica" w:cs="Helvetica"/>
          <w:sz w:val="29"/>
          <w:sz-cs w:val="29"/>
          <w:spacing w:val="0"/>
          <w:color w:val="181E2A"/>
        </w:rPr>
        <w:t xml:space="preserve">Le système TransferAI est maintenant composé d’une couche amont CRM, d’une couche de batch et d’une couche de prospection personnalisée avec validation humaine. La génération du catalogue par pack est validée. Le deck PPTX premium dynamique est désormais actif côté backend, avec stockage Supabase, localisation par langue, gestion des accents et mécanismes de réduction de densité pour tenir dans 8 à 10 slides lisibles. Le chantier structurant qui reste ouvert en priorité est la finalisation d’un audit web dynamique réellement exploité par </w:t>
      </w:r>
      <w:r>
        <w:rPr>
          <w:rFonts w:ascii="Menlo" w:hAnsi="Menlo" w:cs="Menlo"/>
          <w:sz w:val="25"/>
          <w:sz-cs w:val="25"/>
          <w:spacing w:val="0"/>
          <w:color w:val="181E2A"/>
        </w:rPr>
        <w:t xml:space="preserve">pack_id</w:t>
      </w:r>
      <w:r>
        <w:rPr>
          <w:rFonts w:ascii="Helvetica" w:hAnsi="Helvetica" w:cs="Helvetica"/>
          <w:sz w:val="29"/>
          <w:sz-cs w:val="29"/>
          <w:spacing w:val="0"/>
          <w:color w:val="181E2A"/>
        </w:rPr>
        <w:t xml:space="preserve"> ainsi que la validation continue du rendu premium sur plusieurs secteurs réels.</w:t>
      </w:r>
    </w:p>
    <w:p>
      <w:pPr>
        <w:spacing w:after="213"/>
      </w:pPr>
      <w:r>
        <w:rPr>
          <w:rFonts w:ascii="Helvetica" w:hAnsi="Helvetica" w:cs="Helvetica"/>
          <w:sz w:val="25"/>
          <w:sz-cs w:val="25"/>
          <w:spacing w:val="0"/>
          <w:color w:val="3B4350"/>
        </w:rPr>
        <w:t xml:space="preserve">Document consolide a partir des guides V1, V2, V4, V5, des guides admin/back-office et des guides de stabilisation V3.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