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0213D"/>
          <w:sz w:val="26"/>
          <w:szCs w:val="26"/>
        </w:rPr>
        <w:t xml:space="preserve">GUIDE UTILISATEUR</w:t>
      </w:r>
    </w:p>
    <w:p>
      <w:pPr>
        <w:spacing w:after="260"/>
        <w:jc w:val="center"/>
      </w:pPr>
      <w:r>
        <w:rPr>
          <w:b/>
          <w:bCs/>
          <w:color w:val="1F6FB2"/>
          <w:sz w:val="26"/>
          <w:szCs w:val="26"/>
        </w:rPr>
        <w:t xml:space="preserve">Comprendre et utiliser le RAG documentaire de TransferAI Africa</w:t>
      </w:r>
    </w:p>
    <w:p>
      <w:pPr>
        <w:spacing w:after="40"/>
        <w:jc w:val="center"/>
      </w:pPr>
      <w:r>
        <w:rPr>
          <w:i/>
          <w:iCs/>
          <w:sz w:val="22"/>
          <w:szCs w:val="22"/>
        </w:rPr>
        <w:t xml:space="preserve">Support pédagogique — Formation « L'IA au Bureau »</w:t>
      </w:r>
    </w:p>
    <w:p>
      <w:pPr>
        <w:spacing w:after="260"/>
        <w:jc w:val="center"/>
      </w:pPr>
      <w:r>
        <w:rPr>
          <w:i/>
          <w:iCs/>
          <w:sz w:val="22"/>
          <w:szCs w:val="22"/>
        </w:rPr>
        <w:t xml:space="preserve">Abidjan — Juillet / Août 2026</w:t>
      </w:r>
    </w:p>
    <w:p>
      <w:pPr>
        <w:spacing w:after="40"/>
        <w:jc w:val="center"/>
      </w:pPr>
      <w:r>
        <w:rPr>
          <w:sz w:val="20"/>
          <w:szCs w:val="20"/>
        </w:rPr>
        <w:t xml:space="preserve">TransferAI Africa — Hub IA de NettelecomCI</w:t>
      </w:r>
    </w:p>
    <w:p>
      <w:pPr>
        <w:spacing w:after="400"/>
        <w:jc w:val="center"/>
      </w:pPr>
      <w:r>
        <w:rPr>
          <w:color w:val="666666"/>
          <w:sz w:val="20"/>
          <w:szCs w:val="20"/>
        </w:rPr>
        <w:t xml:space="preserve">Document mis à jour le 08 juillet 2026</w:t>
      </w:r>
    </w:p>
    <w:p>
      <w:pPr>
        <w:pStyle w:val="Heading1"/>
      </w:pPr>
      <w:r>
        <w:t xml:space="preserve">1. Qu'est-ce qu'un RAG ?</w:t>
      </w:r>
    </w:p>
    <w:p>
      <w:pPr>
        <w:spacing w:after="160"/>
      </w:pPr>
      <w:r>
        <w:t xml:space="preserve">RAG signifie « Retrieval-Augmented Generation », soit en français « génération augmentée par récupération d'information ». C'est aujourd'hui l'une des architectures d'intelligence artificielle les plus utilisées en entreprise, car elle résout un problème très concret : comment faire en sorte qu'une IA réponde avec des informations exactes, à jour et propres à une organisation, plutôt qu'avec des connaissances génériques ou approximatives.</w:t>
      </w:r>
    </w:p>
    <w:p>
      <w:pPr>
        <w:spacing w:after="160"/>
      </w:pPr>
      <w:r>
        <w:t xml:space="preserve">Un système RAG combine deux briques complémentaires :</w:t>
      </w:r>
    </w:p>
    <w:p>
      <w:pPr>
        <w:pStyle w:val="ListParagraph"/>
        <w:numPr>
          <w:ilvl w:val="0"/>
          <w:numId w:val="2"/>
        </w:numPr>
        <w:spacing w:after="100"/>
      </w:pPr>
      <w:r>
        <w:t xml:space="preserve">La récupération (« Retrieval ») : avant de répondre, le système va chercher, dans une base documentaire propre à l'organisation, les passages les plus pertinents par rapport à la question posée.</w:t>
      </w:r>
    </w:p>
    <w:p>
      <w:pPr>
        <w:pStyle w:val="ListParagraph"/>
        <w:numPr>
          <w:ilvl w:val="0"/>
          <w:numId w:val="2"/>
        </w:numPr>
        <w:spacing w:after="100"/>
      </w:pPr>
      <w:r>
        <w:t xml:space="preserve">La génération augmentée (« Augmented Generation ») : un modèle de langage (comme GPT) rédige ensuite une réponse en s'appuyant explicitement sur ces passages, au lieu d'inventer une réponse à partir de ses seules connaissances générales.</w:t>
      </w:r>
    </w:p>
    <w:p>
      <w:pPr>
        <w:pBdr>
          <w:left w:val="single" w:color="1F6FB2" w:sz="18" w:space="8"/>
        </w:pBdr>
        <w:shd w:fill="D9E8F5" w:val="clear"/>
        <w:spacing w:after="200" w:before="120"/>
        <w:ind w:left="120"/>
      </w:pPr>
      <w:r>
        <w:rPr>
          <w:i/>
          <w:iCs/>
        </w:rPr>
        <w:t xml:space="preserve">En résumé : un RAG, c'est un moteur de recherche interne couplé à un rédacteur intelligent — la recherche garantit l'exactitude, la génération garantit la clarté et le naturel de la réponse.</w:t>
      </w:r>
    </w:p>
    <w:p>
      <w:pPr>
        <w:pStyle w:val="Heading2"/>
      </w:pPr>
      <w:r>
        <w:t xml:space="preserve">1.1 Comment ça fonctionne concrètement ?</w:t>
      </w:r>
    </w:p>
    <w:p>
      <w:pPr>
        <w:spacing w:after="160"/>
      </w:pPr>
      <w:r>
        <w:t xml:space="preserve">Le fonctionnement d'un RAG suit toujours quatre étapes :</w:t>
      </w:r>
    </w:p>
    <w:p>
      <w:pPr>
        <w:pStyle w:val="ListParagraph"/>
        <w:numPr>
          <w:ilvl w:val="0"/>
          <w:numId w:val="3"/>
        </w:numPr>
        <w:spacing w:after="100"/>
      </w:pPr>
      <w:r>
        <w:t xml:space="preserve">Ingestion : les documents de référence (procédures, guides, catalogues, argumentaires…) sont découpés en petits morceaux de texte (des « chunks »).</w:t>
      </w:r>
    </w:p>
    <w:p>
      <w:pPr>
        <w:pStyle w:val="ListParagraph"/>
        <w:numPr>
          <w:ilvl w:val="0"/>
          <w:numId w:val="3"/>
        </w:numPr>
        <w:spacing w:after="100"/>
      </w:pPr>
      <w:r>
        <w:t xml:space="preserve">Vectorisation (embeddings) : chaque morceau de texte est transformé en une suite de nombres (un « vecteur ») qui représente son sens. Deux textes proches en signification auront des vecteurs proches, même s'ils n'utilisent pas les mêmes mots.</w:t>
      </w:r>
    </w:p>
    <w:p>
      <w:pPr>
        <w:pStyle w:val="ListParagraph"/>
        <w:numPr>
          <w:ilvl w:val="0"/>
          <w:numId w:val="3"/>
        </w:numPr>
        <w:spacing w:after="100"/>
      </w:pPr>
      <w:r>
        <w:t xml:space="preserve">Recherche par similarité : quand une question arrive, elle est elle aussi transformée en vecteur, puis comparée mathématiquement à tous les vecteurs déjà stockés pour retrouver les morceaux de texte les plus proches en signification.</w:t>
      </w:r>
    </w:p>
    <w:p>
      <w:pPr>
        <w:pStyle w:val="ListParagraph"/>
        <w:numPr>
          <w:ilvl w:val="0"/>
          <w:numId w:val="3"/>
        </w:numPr>
        <w:spacing w:after="100"/>
      </w:pPr>
      <w:r>
        <w:t xml:space="preserve">Génération de la réponse : les morceaux retrouvés sont transmis à un modèle de langage, qui rédige une réponse claire en citant ou en s'appuyant sur ces sources.</w:t>
      </w:r>
    </w:p>
    <w:p>
      <w:pPr>
        <w:pStyle w:val="Heading2"/>
      </w:pPr>
      <w:r>
        <w:t xml:space="preserve">1.2 En quoi un RAG est différent d'un chatbot classique ou d'un moteur de recherche ?</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50"/>
        <w:gridCol w:w="2624"/>
        <w:gridCol w:w="2624"/>
        <w:gridCol w:w="2722"/>
      </w:tblGrid>
      <w:tr>
        <w:trPr>
          <w:tblHeader/>
        </w:trPr>
        <w:tc>
          <w:tcPr>
            <w:tcW w:type="dxa" w:w="1750"/>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Aspect</w:t>
            </w:r>
          </w:p>
        </w:tc>
        <w:tc>
          <w:tcPr>
            <w:tcW w:type="dxa" w:w="2624"/>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Moteur de recherche classique</w:t>
            </w:r>
          </w:p>
        </w:tc>
        <w:tc>
          <w:tcPr>
            <w:tcW w:type="dxa" w:w="2624"/>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Chatbot IA générique</w:t>
            </w:r>
          </w:p>
        </w:tc>
        <w:tc>
          <w:tcPr>
            <w:tcW w:type="dxa" w:w="2722"/>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Système RAG</w:t>
            </w:r>
          </w:p>
        </w:tc>
      </w:tr>
      <w:tr>
        <w:tc>
          <w:tcPr>
            <w:tcW w:type="dxa" w:w="175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Source des réponses</w:t>
            </w:r>
          </w:p>
        </w:tc>
        <w:tc>
          <w:tcPr>
            <w:tcW w:type="dxa" w:w="2624"/>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Liste de liens à ouvrir soi-même</w:t>
            </w:r>
          </w:p>
        </w:tc>
        <w:tc>
          <w:tcPr>
            <w:tcW w:type="dxa" w:w="2624"/>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Connaissances générales du modèle, potentiellement datées ou approximatives</w:t>
            </w:r>
          </w:p>
        </w:tc>
        <w:tc>
          <w:tcPr>
            <w:tcW w:type="dxa" w:w="2722"/>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Documents internes réels et à jour de l'organisation</w:t>
            </w:r>
          </w:p>
        </w:tc>
      </w:tr>
      <w:tr>
        <w:tc>
          <w:tcPr>
            <w:tcW w:type="dxa" w:w="1750"/>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Format de la réponse</w:t>
            </w:r>
          </w:p>
        </w:tc>
        <w:tc>
          <w:tcPr>
            <w:tcW w:type="dxa" w:w="2624"/>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Résultats bruts à trier</w:t>
            </w:r>
          </w:p>
        </w:tc>
        <w:tc>
          <w:tcPr>
            <w:tcW w:type="dxa" w:w="2624"/>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Texte rédigé mais non vérifiable</w:t>
            </w:r>
          </w:p>
        </w:tc>
        <w:tc>
          <w:tcPr>
            <w:tcW w:type="dxa" w:w="2722"/>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Texte rédigé, ancré dans des sources identifiables</w:t>
            </w:r>
          </w:p>
        </w:tc>
      </w:tr>
      <w:tr>
        <w:tc>
          <w:tcPr>
            <w:tcW w:type="dxa" w:w="1750"/>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Mise à jour</w:t>
            </w:r>
          </w:p>
        </w:tc>
        <w:tc>
          <w:tcPr>
            <w:tcW w:type="dxa" w:w="2624"/>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Dépend de l'indexation du moteur</w:t>
            </w:r>
          </w:p>
        </w:tc>
        <w:tc>
          <w:tcPr>
            <w:tcW w:type="dxa" w:w="2624"/>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Nécessite un ré-entraînement du modèle</w:t>
            </w:r>
          </w:p>
        </w:tc>
        <w:tc>
          <w:tcPr>
            <w:tcW w:type="dxa" w:w="2722"/>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Il suffit d'ajouter un document à la base pour qu'il soit pris en compte</w:t>
            </w:r>
          </w:p>
        </w:tc>
      </w:tr>
    </w:tbl>
    <w:p>
      <w:pPr>
        <w:pStyle w:val="Heading1"/>
      </w:pPr>
      <w:r>
        <w:t xml:space="preserve">2. Pourquoi le RAG est-il utile dans les métiers aujourd'hui ?</w:t>
      </w:r>
    </w:p>
    <w:p>
      <w:pPr>
        <w:spacing w:after="160"/>
      </w:pPr>
      <w:r>
        <w:t xml:space="preserve">Le RAG n'est pas une technologie réservée à l'informatique : c'est un outil transversal qui transforme la façon de travailler dans de nombreux métiers, en donnant à chacun un accès instantané et fiable à la connaissance de son organisation.</w:t>
      </w:r>
    </w:p>
    <w:p>
      <w:pPr>
        <w:pStyle w:val="Heading2"/>
      </w:pPr>
      <w:r>
        <w:t xml:space="preserve">2.1 Des cas d'usage concrets, secteur par secteur</w:t>
      </w:r>
    </w:p>
    <w:p>
      <w:pPr>
        <w:pStyle w:val="ListParagraph"/>
        <w:numPr>
          <w:ilvl w:val="0"/>
          <w:numId w:val="2"/>
        </w:numPr>
        <w:spacing w:after="100"/>
      </w:pPr>
      <w:r>
        <w:t xml:space="preserve">Support client et service après-vente : répondre instantanément aux questions des clients à partir des vraies procédures internes, sans attendre qu'un agent humain soit disponible.</w:t>
      </w:r>
    </w:p>
    <w:p>
      <w:pPr>
        <w:pStyle w:val="ListParagraph"/>
        <w:numPr>
          <w:ilvl w:val="0"/>
          <w:numId w:val="2"/>
        </w:numPr>
        <w:spacing w:after="100"/>
      </w:pPr>
      <w:r>
        <w:t xml:space="preserve">Vente et prospection commerciale : retrouver en quelques secondes l'argumentaire, le tarif ou la référence client adaptés à une situation précise.</w:t>
      </w:r>
    </w:p>
    <w:p>
      <w:pPr>
        <w:pStyle w:val="ListParagraph"/>
        <w:numPr>
          <w:ilvl w:val="0"/>
          <w:numId w:val="2"/>
        </w:numPr>
        <w:spacing w:after="100"/>
      </w:pPr>
      <w:r>
        <w:t xml:space="preserve">Ressources humaines : permettre aux collaborateurs de retrouver eux-mêmes une réponse dans la convention collective, le règlement intérieur ou les procédures RH.</w:t>
      </w:r>
    </w:p>
    <w:p>
      <w:pPr>
        <w:pStyle w:val="ListParagraph"/>
        <w:numPr>
          <w:ilvl w:val="0"/>
          <w:numId w:val="2"/>
        </w:numPr>
        <w:spacing w:after="100"/>
      </w:pPr>
      <w:r>
        <w:t xml:space="preserve">Juridique et conformité : rechercher rapidement une clause, une réglementation ou un précédent dans un corpus de textes volumineux.</w:t>
      </w:r>
    </w:p>
    <w:p>
      <w:pPr>
        <w:pStyle w:val="ListParagraph"/>
        <w:numPr>
          <w:ilvl w:val="0"/>
          <w:numId w:val="2"/>
        </w:numPr>
        <w:spacing w:after="100"/>
      </w:pPr>
      <w:r>
        <w:t xml:space="preserve">Santé : aider le personnel soignant à retrouver un protocole ou une posologie dans la documentation médicale validée par l'établissement.</w:t>
      </w:r>
    </w:p>
    <w:p>
      <w:pPr>
        <w:pStyle w:val="ListParagraph"/>
        <w:numPr>
          <w:ilvl w:val="0"/>
          <w:numId w:val="2"/>
        </w:numPr>
        <w:spacing w:after="100"/>
      </w:pPr>
      <w:r>
        <w:t xml:space="preserve">Secteur public et administrations : orienter les usagers vers la bonne procédure à partir des textes réglementaires en vigueur.</w:t>
      </w:r>
    </w:p>
    <w:p>
      <w:pPr>
        <w:pStyle w:val="ListParagraph"/>
        <w:numPr>
          <w:ilvl w:val="0"/>
          <w:numId w:val="2"/>
        </w:numPr>
        <w:spacing w:after="100"/>
      </w:pPr>
      <w:r>
        <w:t xml:space="preserve">Formation et pédagogie : permettre à un apprenant de poser une question sur un support de cours et d'obtenir une réponse sourcée, plutôt que de devoir rechercher manuellement dans des dizaines de pages.</w:t>
      </w:r>
    </w:p>
    <w:p>
      <w:pPr>
        <w:pStyle w:val="Heading2"/>
      </w:pPr>
      <w:r>
        <w:t xml:space="preserve">2.2 Trois bénéfices clés à retenir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38"/>
        <w:gridCol w:w="7582"/>
      </w:tblGrid>
      <w:tr>
        <w:trPr>
          <w:tblHeader/>
        </w:trPr>
        <w:tc>
          <w:tcPr>
            <w:tcW w:type="dxa" w:w="2138"/>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Bénéfice</w:t>
            </w:r>
          </w:p>
        </w:tc>
        <w:tc>
          <w:tcPr>
            <w:tcW w:type="dxa" w:w="7582"/>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Ce que cela signifie en pratique</w:t>
            </w:r>
          </w:p>
        </w:tc>
      </w:tr>
      <w:tr>
        <w:tc>
          <w:tcPr>
            <w:tcW w:type="dxa" w:w="213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Précision</w:t>
            </w:r>
          </w:p>
        </w:tc>
        <w:tc>
          <w:tcPr>
            <w:tcW w:type="dxa" w:w="7582"/>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La réponse s'appuie sur de vrais documents de l'organisation, pas sur des connaissances générales potentiellement fausses ou obsolètes.</w:t>
            </w:r>
          </w:p>
        </w:tc>
      </w:tr>
      <w:tr>
        <w:tc>
          <w:tcPr>
            <w:tcW w:type="dxa" w:w="213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Fraîcheur</w:t>
            </w:r>
          </w:p>
        </w:tc>
        <w:tc>
          <w:tcPr>
            <w:tcW w:type="dxa" w:w="7582"/>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Il suffit d'ajouter ou de mettre à jour un document pour que l'IA en tienne compte — pas besoin de reprogrammer ou de réentraîner un modèle.</w:t>
            </w:r>
          </w:p>
        </w:tc>
      </w:tr>
      <w:tr>
        <w:tc>
          <w:tcPr>
            <w:tcW w:type="dxa" w:w="213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Traçabilité</w:t>
            </w:r>
          </w:p>
        </w:tc>
        <w:tc>
          <w:tcPr>
            <w:tcW w:type="dxa" w:w="7582"/>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Chaque réponse peut être reliée à sa source documentaire, ce qui permet de vérifier et de faire confiance à l'information fournie.</w:t>
            </w:r>
          </w:p>
        </w:tc>
      </w:tr>
    </w:tbl>
    <w:p>
      <w:pPr>
        <w:pStyle w:val="Heading2"/>
      </w:pPr>
      <w:r>
        <w:t xml:space="preserve">2.3 Avant / Après : ce que change concrètement le RAG pour une organisation</w:t>
      </w:r>
    </w:p>
    <w:p>
      <w:pPr>
        <w:spacing w:after="160"/>
      </w:pPr>
      <w:r>
        <w:t xml:space="preserve">Au-delà des principes généraux, voici ce que l'implémentation d'un RAG change très concrètement pour une organisation qui ne dispose aujourd'hui d'aucun système équivalent — c'est la question que se pose légitimement tout prospect avant de se lancer : « qu'est-ce que je gagne réellement, par rapport à ma situation actuelle ? »</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3888"/>
        <w:gridCol w:w="3888"/>
      </w:tblGrid>
      <w:tr>
        <w:trPr>
          <w:tblHeader/>
        </w:trPr>
        <w:tc>
          <w:tcPr>
            <w:tcW w:type="dxa" w:w="1944"/>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Dimension</w:t>
            </w:r>
          </w:p>
        </w:tc>
        <w:tc>
          <w:tcPr>
            <w:tcW w:type="dxa" w:w="3888"/>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AVANT (sans RAG)</w:t>
            </w:r>
          </w:p>
        </w:tc>
        <w:tc>
          <w:tcPr>
            <w:tcW w:type="dxa" w:w="3888"/>
            <w:tcBorders>
              <w:top w:val="single" w:color="BFBFBF" w:sz="2"/>
              <w:left w:val="single" w:color="BFBFBF" w:sz="2"/>
              <w:bottom w:val="single" w:color="BFBFBF" w:sz="2"/>
              <w:right w:val="single" w:color="BFBFBF" w:sz="2"/>
            </w:tcBorders>
            <w:shd w:fill="10213D" w:val="clear"/>
            <w:tcMar>
              <w:top w:type="dxa" w:w="100"/>
              <w:left w:type="dxa" w:w="140"/>
              <w:bottom w:type="dxa" w:w="100"/>
              <w:right w:type="dxa" w:w="140"/>
            </w:tcMar>
            <w:vAlign w:val="center"/>
          </w:tcPr>
          <w:p>
            <w:r>
              <w:rPr>
                <w:b/>
                <w:bCs/>
                <w:color w:val="FFFFFF"/>
              </w:rPr>
              <w:t xml:space="preserve">APRÈS (avec RAG)</w:t>
            </w:r>
          </w:p>
        </w:tc>
      </w:tr>
      <w:tr>
        <w:tc>
          <w:tcPr>
            <w:tcW w:type="dxa" w:w="1944"/>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bCs/>
              </w:rPr>
              <w:t xml:space="preserve">Recherche d'information</w:t>
            </w:r>
          </w:p>
        </w:tc>
        <w:tc>
          <w:tcPr>
            <w:tcW w:type="dxa" w:w="388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Un collaborateur perd plusieurs minutes, parfois des heures, à chercher un document, une procédure ou une réponse dans des dossiers partagés, des e-mails ou la mémoire d'un collègue.</w:t>
            </w:r>
          </w:p>
        </w:tc>
        <w:tc>
          <w:tcPr>
            <w:tcW w:type="dxa" w:w="388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La réponse arrive en quelques secondes, formulée clairement et accompagnée de la source exacte utilisée.</w:t>
            </w:r>
          </w:p>
        </w:tc>
      </w:tr>
      <w:tr>
        <w:tc>
          <w:tcPr>
            <w:tcW w:type="dxa" w:w="1944"/>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bCs/>
              </w:rPr>
              <w:t xml:space="preserve">Disponibilité</w:t>
            </w:r>
          </w:p>
        </w:tc>
        <w:tc>
          <w:tcPr>
            <w:tcW w:type="dxa" w:w="388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La réponse dépend de la disponibilité d'un expert humain, souvent uniquement aux heures de bureau.</w:t>
            </w:r>
          </w:p>
        </w:tc>
        <w:tc>
          <w:tcPr>
            <w:tcW w:type="dxa" w:w="388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Le système répond 24 h/24 et 7 j/7, sans délai d'attente, avec escalade automatique vers un humain uniquement lorsque c'est nécessaire.</w:t>
            </w:r>
          </w:p>
        </w:tc>
      </w:tr>
      <w:tr>
        <w:tc>
          <w:tcPr>
            <w:tcW w:type="dxa" w:w="1944"/>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bCs/>
              </w:rPr>
              <w:t xml:space="preserve">Cohérence des réponses</w:t>
            </w:r>
          </w:p>
        </w:tc>
        <w:tc>
          <w:tcPr>
            <w:tcW w:type="dxa" w:w="388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Deux collaborateurs différents peuvent donner deux réponses différentes à la même question, selon leur connaissance du dossier.</w:t>
            </w:r>
          </w:p>
        </w:tc>
        <w:tc>
          <w:tcPr>
            <w:tcW w:type="dxa" w:w="388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La réponse s'appuie toujours sur les mêmes documents de référence : à information égale, la même question obtient une réponse cohérente.</w:t>
            </w:r>
          </w:p>
        </w:tc>
      </w:tr>
      <w:tr>
        <w:tc>
          <w:tcPr>
            <w:tcW w:type="dxa" w:w="1944"/>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bCs/>
              </w:rPr>
              <w:t xml:space="preserve">Mise à jour de la connaissance</w:t>
            </w:r>
          </w:p>
        </w:tc>
        <w:tc>
          <w:tcPr>
            <w:tcW w:type="dxa" w:w="388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Toute mise à jour de procédure doit être communiquée manuellement à toute l'équipe (réunion, e-mail, formation), avec le risque que certains restent sur l'ancienne version.</w:t>
            </w:r>
          </w:p>
        </w:tc>
        <w:tc>
          <w:tcPr>
            <w:tcW w:type="dxa" w:w="388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Il suffit de déposer le document mis à jour dans le dossier surveillé : la nouvelle version est prise en compte automatiquement au cycle d'ingestion suivant.</w:t>
            </w:r>
          </w:p>
        </w:tc>
      </w:tr>
      <w:tr>
        <w:tc>
          <w:tcPr>
            <w:tcW w:type="dxa" w:w="1944"/>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bCs/>
              </w:rPr>
              <w:t xml:space="preserve">Charge sur les experts et le support</w:t>
            </w:r>
          </w:p>
        </w:tc>
        <w:tc>
          <w:tcPr>
            <w:tcW w:type="dxa" w:w="388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Les experts et le support passent une part importante de leur temps à répondre aux mêmes questions récurrentes.</w:t>
            </w:r>
          </w:p>
        </w:tc>
        <w:tc>
          <w:tcPr>
            <w:tcW w:type="dxa" w:w="3888"/>
            <w:tcBorders>
              <w:top w:val="single" w:color="BFBFBF" w:sz="2"/>
              <w:left w:val="single" w:color="BFBFBF" w:sz="2"/>
              <w:bottom w:val="single" w:color="BFBFBF" w:sz="2"/>
              <w:right w:val="single" w:color="BFBFBF" w:sz="2"/>
            </w:tcBorders>
            <w:shd w:fill="F2F2F2" w:val="clear"/>
            <w:tcMar>
              <w:top w:type="dxa" w:w="100"/>
              <w:left w:type="dxa" w:w="140"/>
              <w:bottom w:type="dxa" w:w="100"/>
              <w:right w:type="dxa" w:w="140"/>
            </w:tcMar>
            <w:vAlign w:val="center"/>
          </w:tcPr>
          <w:p>
            <w:pPr>
              <w:jc w:val="left"/>
            </w:pPr>
            <w:r>
              <w:rPr>
                <w:b w:val="false"/>
                <w:bCs w:val="false"/>
              </w:rPr>
              <w:t xml:space="preserve">Le RAG absorbe les questions répétitives et ne transmet à un humain que les cas réellement nouveaux ou complexes.</w:t>
            </w:r>
          </w:p>
        </w:tc>
      </w:tr>
      <w:tr>
        <w:tc>
          <w:tcPr>
            <w:tcW w:type="dxa" w:w="1944"/>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bCs/>
              </w:rPr>
              <w:t xml:space="preserve">Traçabilité et confiance</w:t>
            </w:r>
          </w:p>
        </w:tc>
        <w:tc>
          <w:tcPr>
            <w:tcW w:type="dxa" w:w="388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Une réponse orale ou rédigée à la main n'est pas toujours vérifiable a posteriori.</w:t>
            </w:r>
          </w:p>
        </w:tc>
        <w:tc>
          <w:tcPr>
            <w:tcW w:type="dxa" w:w="3888"/>
            <w:tcBorders>
              <w:top w:val="single" w:color="BFBFBF" w:sz="2"/>
              <w:left w:val="single" w:color="BFBFBF" w:sz="2"/>
              <w:bottom w:val="single" w:color="BFBFBF" w:sz="2"/>
              <w:right w:val="single" w:color="BFBFBF" w:sz="2"/>
            </w:tcBorders>
            <w:tcMar>
              <w:top w:type="dxa" w:w="100"/>
              <w:left w:type="dxa" w:w="140"/>
              <w:bottom w:type="dxa" w:w="100"/>
              <w:right w:type="dxa" w:w="140"/>
            </w:tcMar>
            <w:vAlign w:val="center"/>
          </w:tcPr>
          <w:p>
            <w:pPr>
              <w:jc w:val="left"/>
            </w:pPr>
            <w:r>
              <w:rPr>
                <w:b w:val="false"/>
                <w:bCs w:val="false"/>
              </w:rPr>
              <w:t xml:space="preserve">Chaque réponse peut être reliée à sa source documentaire précise, ce qui permet de la vérifier et d'auditer la qualité du système dans la durée.</w:t>
            </w:r>
          </w:p>
        </w:tc>
      </w:tr>
    </w:tbl>
    <w:p>
      <w:pPr>
        <w:spacing w:after="160"/>
      </w:pPr>
      <w:r>
        <w:t xml:space="preserve"/>
      </w:r>
    </w:p>
    <w:p>
      <w:pPr>
        <w:pBdr>
          <w:left w:val="single" w:color="1F6FB2" w:sz="18" w:space="8"/>
        </w:pBdr>
        <w:shd w:fill="D9E8F5" w:val="clear"/>
        <w:spacing w:after="200" w:before="120"/>
        <w:ind w:left="120"/>
      </w:pPr>
      <w:r>
        <w:rPr>
          <w:i/>
          <w:iCs/>
        </w:rPr>
        <w:t xml:space="preserve">Ce comparatif n'est pas théorique : c'est exactement ce que produit, en conditions réelles, le système RAG documentaire présenté dans ce guide (voir section 2.4).</w:t>
      </w:r>
    </w:p>
    <w:p>
      <w:pPr>
        <w:pStyle w:val="Heading2"/>
      </w:pPr>
      <w:r>
        <w:t xml:space="preserve">2.4 Un exemple vivant : le RAG de TransferAI Africa</w:t>
      </w:r>
    </w:p>
    <w:p>
      <w:pPr>
        <w:spacing w:after="160"/>
      </w:pPr>
      <w:r>
        <w:t xml:space="preserve">Dans le cadre de la formation « L'IA au Bureau » organisée par TransferAI Africa à Abidjan en juillet et août 2026, le système RAG documentaire présenté dans ce guide sert d'exemple pédagogique concret : il est utilisé en conditions réelles pour répondre automatiquement aux questions des prospects et clients de TransferAI (WhatsApp, e-mail, chat), avec escalade vers un conseiller humain lorsque l'information n'est pas trouvée. Depuis juillet 2026, il sert aussi en interne : les collègues TransferAI peuvent interroger la même base de connaissances via un workflow et une interface web dédiés, sans passer par les canaux clients (voir section 3).</w:t>
      </w:r>
    </w:p>
    <w:p>
      <w:pPr>
        <w:spacing w:after="160"/>
      </w:pPr>
      <w:r>
        <w:t xml:space="preserve">Ce cas d'usage illustre pour les participants de la formation, de façon très concrète, comment une organisation — quel que soit son secteur — peut construire son propre assistant IA fiable à partir de ses documents internes, sans expertise technique poussée, en s'appuyant sur des outils d'automatisation comme n8n, une base de données comme Supabase, et un modèle de langage comme GPT.</w:t>
      </w:r>
    </w:p>
    <w:p>
      <w:pPr>
        <w:pStyle w:val="Heading1"/>
      </w:pPr>
      <w:r>
        <w:t xml:space="preserve">3. Les briques qui composent l'écosystème RAG de TransferAI</w:t>
      </w:r>
    </w:p>
    <w:p>
      <w:pPr>
        <w:spacing w:after="160"/>
      </w:pPr>
      <w:r>
        <w:t xml:space="preserve">Le système RAG documentaire de TransferAI repose désormais sur quatre briques qui fonctionnent en tandem : une alimente la base de connaissances, les trois autres l'interrogent — chacune pour un usage différent (clients externes, équipe interne, canal conversationnel WhatsApp).</w:t>
      </w:r>
    </w:p>
    <w:p>
      <w:pPr>
        <w:pStyle w:val="Heading2"/>
      </w:pPr>
      <w:r>
        <w:t xml:space="preserve">3.1 Ingestion_Documents_Drive_Recursif — l'alimentation de la base de connaissances</w:t>
      </w:r>
    </w:p>
    <w:p>
      <w:pPr>
        <w:spacing w:after="160"/>
      </w:pPr>
      <w:r>
        <w:t xml:space="preserve">Ce workflow a pour rôle de transformer les documents stockés dans Google Drive en une base de connaissances interrogeable par l'IA. Il se déclenche automatiquement toutes les 6 heures.</w:t>
      </w:r>
    </w:p>
    <w:p>
      <w:pPr>
        <w:spacing w:after="160"/>
      </w:pPr>
      <w:r>
        <w:t xml:space="preserve">Son fonctionnement, étape par étape :</w:t>
      </w:r>
    </w:p>
    <w:p>
      <w:pPr>
        <w:pStyle w:val="ListParagraph"/>
        <w:numPr>
          <w:ilvl w:val="0"/>
          <w:numId w:val="3"/>
        </w:numPr>
        <w:spacing w:after="100"/>
      </w:pPr>
      <w:r>
        <w:t xml:space="preserve">Il parcourt 8 dossiers Google Drive de référence (le dossier racine et 7 sous-dossiers thématiques : procédures internes, réglementation, guides de formation, workflows d'automatisation, prospection CRM, decks sectoriels, base de connaissances).</w:t>
      </w:r>
    </w:p>
    <w:p>
      <w:pPr>
        <w:pStyle w:val="ListParagraph"/>
        <w:numPr>
          <w:ilvl w:val="0"/>
          <w:numId w:val="3"/>
        </w:numPr>
        <w:spacing w:after="100"/>
      </w:pPr>
      <w:r>
        <w:t xml:space="preserve">Il liste tous les fichiers présents dans ces dossiers.</w:t>
      </w:r>
    </w:p>
    <w:p>
      <w:pPr>
        <w:pStyle w:val="ListParagraph"/>
        <w:numPr>
          <w:ilvl w:val="0"/>
          <w:numId w:val="3"/>
        </w:numPr>
        <w:spacing w:after="100"/>
      </w:pPr>
      <w:r>
        <w:t xml:space="preserve">Il ne conserve que les fichiers réellement exploitables en texte (documents et feuilles de calcul Google natifs, fichiers .txt, .md et .csv) — les fichiers binaires comme les .docx, .pdf ou présentations Google Slides brutes sont automatiquement écartés, car leur contenu ne peut pas être extrait proprement en texte par ce pipeline.</w:t>
      </w:r>
    </w:p>
    <w:p>
      <w:pPr>
        <w:pStyle w:val="ListParagraph"/>
        <w:numPr>
          <w:ilvl w:val="0"/>
          <w:numId w:val="3"/>
        </w:numPr>
        <w:spacing w:after="100"/>
      </w:pPr>
      <w:r>
        <w:t xml:space="preserve">Il télécharge le contenu de chaque fichier retenu.</w:t>
      </w:r>
    </w:p>
    <w:p>
      <w:pPr>
        <w:pStyle w:val="ListParagraph"/>
        <w:numPr>
          <w:ilvl w:val="0"/>
          <w:numId w:val="3"/>
        </w:numPr>
        <w:spacing w:after="100"/>
      </w:pPr>
      <w:r>
        <w:t xml:space="preserve">Il découpe chaque document en petits morceaux de texte d'environ 800 caractères, avec un léger chevauchement entre chaque morceau pour ne pas couper une idée en plein milieu.</w:t>
      </w:r>
    </w:p>
    <w:p>
      <w:pPr>
        <w:pStyle w:val="ListParagraph"/>
        <w:numPr>
          <w:ilvl w:val="0"/>
          <w:numId w:val="3"/>
        </w:numPr>
        <w:spacing w:after="100"/>
      </w:pPr>
      <w:r>
        <w:t xml:space="preserve">Il transforme chaque morceau en vecteur numérique (embedding) via l'API d'OpenAI.</w:t>
      </w:r>
    </w:p>
    <w:p>
      <w:pPr>
        <w:pStyle w:val="ListParagraph"/>
        <w:numPr>
          <w:ilvl w:val="0"/>
          <w:numId w:val="3"/>
        </w:numPr>
        <w:spacing w:after="100"/>
      </w:pPr>
      <w:r>
        <w:t xml:space="preserve">Il enregistre chaque morceau, avec son vecteur, dans la table « documents » de la base de données Supabase — en mettant à jour les entrées déjà existantes plutôt que de créer des doublons.</w:t>
      </w:r>
    </w:p>
    <w:p>
      <w:pPr>
        <w:pBdr>
          <w:left w:val="single" w:color="1F6FB2" w:sz="18" w:space="8"/>
        </w:pBdr>
        <w:shd w:fill="D9E8F5" w:val="clear"/>
        <w:spacing w:after="200" w:before="120"/>
        <w:ind w:left="120"/>
      </w:pPr>
      <w:r>
        <w:rPr>
          <w:i/>
          <w:iCs/>
        </w:rPr>
        <w:t xml:space="preserve">Point important : pour qu'un document soit bien exploité par ce pipeline, la convention en vigueur chez TransferAI est de toujours déposer, à côté d'un fichier .docx ou .pptx destiné à la lecture humaine, un fichier .txt contenant le texte déjà extrait proprement — c'est ce fichier .txt qui est réellement utilisé par le système.</w:t>
      </w:r>
    </w:p>
    <w:p>
      <w:pPr>
        <w:pStyle w:val="Heading2"/>
      </w:pPr>
      <w:r>
        <w:t xml:space="preserve">3.2 Recherche_Documentaire_RAG_v4_complet — la recherche et la génération de réponse (canal externe)</w:t>
      </w:r>
    </w:p>
    <w:p>
      <w:pPr>
        <w:spacing w:after="160"/>
      </w:pPr>
      <w:r>
        <w:t xml:space="preserve">Ce workflow répond en temps réel aux questions posées par les prospects et clients de TransferAI, via e-mail, chat ou le formulaire web. Il ne se déclenche pas automatiquement toutes les X heures : il est appelé instantanément à chaque question reçue, via un mécanisme technique appelé « webhook ».</w:t>
      </w:r>
    </w:p>
    <w:p>
      <w:pPr>
        <w:spacing w:after="160"/>
      </w:pPr>
      <w:r>
        <w:t xml:space="preserve">Son fonctionnement, étape par étape :</w:t>
      </w:r>
    </w:p>
    <w:p>
      <w:pPr>
        <w:pStyle w:val="ListParagraph"/>
        <w:numPr>
          <w:ilvl w:val="0"/>
          <w:numId w:val="3"/>
        </w:numPr>
        <w:spacing w:after="100"/>
      </w:pPr>
      <w:r>
        <w:t xml:space="preserve">La question posée par le prospect ou le client est reçue et extraite.</w:t>
      </w:r>
    </w:p>
    <w:p>
      <w:pPr>
        <w:pStyle w:val="ListParagraph"/>
        <w:numPr>
          <w:ilvl w:val="0"/>
          <w:numId w:val="3"/>
        </w:numPr>
        <w:spacing w:after="100"/>
      </w:pPr>
      <w:r>
        <w:t xml:space="preserve">Cette question est transformée en vecteur numérique, de la même façon que les documents lors de l'ingestion.</w:t>
      </w:r>
    </w:p>
    <w:p>
      <w:pPr>
        <w:pStyle w:val="ListParagraph"/>
        <w:numPr>
          <w:ilvl w:val="0"/>
          <w:numId w:val="3"/>
        </w:numPr>
        <w:spacing w:after="100"/>
      </w:pPr>
      <w:r>
        <w:t xml:space="preserve">Le système recherche, dans la table « documents », les 5 passages dont le sens est le plus proche de la question posée.</w:t>
      </w:r>
    </w:p>
    <w:p>
      <w:pPr>
        <w:pStyle w:val="ListParagraph"/>
        <w:numPr>
          <w:ilvl w:val="0"/>
          <w:numId w:val="3"/>
        </w:numPr>
        <w:spacing w:after="100"/>
      </w:pPr>
      <w:r>
        <w:t xml:space="preserve">Si des passages suffisamment pertinents sont trouvés : leur contenu est nettoyé de toute information personnelle sensible avant d'être transmis à l'IA, qui rédige une réponse claire en s'appuyant sur ces passages ; les informations réelles sont ensuite réintégrées dans la réponse finale, puis celle-ci est envoyée au prospect.</w:t>
      </w:r>
    </w:p>
    <w:p>
      <w:pPr>
        <w:pStyle w:val="ListParagraph"/>
        <w:numPr>
          <w:ilvl w:val="0"/>
          <w:numId w:val="3"/>
        </w:numPr>
        <w:spacing w:after="100"/>
      </w:pPr>
      <w:r>
        <w:t xml:space="preserve">Si aucun passage suffisamment pertinent n'est trouvé : la question est automatiquement transmise à un conseiller humain via l'outil Chatwoot, afin qu'aucune question ne reste sans réponse fiable.</w:t>
      </w:r>
    </w:p>
    <w:p>
      <w:pPr>
        <w:pStyle w:val="ListParagraph"/>
        <w:numPr>
          <w:ilvl w:val="0"/>
          <w:numId w:val="3"/>
        </w:numPr>
        <w:spacing w:after="100"/>
      </w:pPr>
      <w:r>
        <w:t xml:space="preserve">Chaque échange, qu'il ait été traité par l'IA ou escaladé à un humain, est enregistré pour garder une trace de l'activité.</w:t>
      </w:r>
    </w:p>
    <w:p>
      <w:pPr>
        <w:spacing w:after="160"/>
      </w:pPr>
      <w:r>
        <w:t xml:space="preserve">Depuis le 5 juillet 2026, la même logique de recherche documentaire (recherche vectorielle + citation de sources) est également intégrée directement dans le workflow qui gère les conversations WhatsApp entrantes (Chatwoot). Ainsi, un prospect qui écrit sur WhatsApp bénéficie lui aussi de réponses ancrées dans la base documentaire, avec le même mécanisme d'escalade humaine en cas de doute.</w:t>
      </w:r>
    </w:p>
    <w:p>
      <w:pPr>
        <w:pStyle w:val="Heading2"/>
      </w:pPr>
      <w:r>
        <w:t xml:space="preserve">3.3 Recherche_Documentaire_RAG — le même moteur, réservé à l'usage interne</w:t>
      </w:r>
    </w:p>
    <w:p>
      <w:pPr>
        <w:spacing w:after="160"/>
      </w:pPr>
      <w:r>
        <w:t xml:space="preserve">Un second workflow, dédié, permet aux collègues TransferAI d'interroger la base de connaissances sans passer par les canaux clients (WhatsApp, e-mail). Il repose sur les mêmes briques techniques que le workflow externe (embedding de la question, recherche vectorielle, réponse sourcée), avec deux différences volontaires :</w:t>
      </w:r>
    </w:p>
    <w:p>
      <w:pPr>
        <w:pStyle w:val="ListParagraph"/>
        <w:numPr>
          <w:ilvl w:val="0"/>
          <w:numId w:val="2"/>
        </w:numPr>
        <w:spacing w:after="100"/>
      </w:pPr>
      <w:r>
        <w:t xml:space="preserve">Pas d'anonymisation des données personnelles avant l'envoi au modèle de langage : inutile pour un usage strictement interne.</w:t>
      </w:r>
    </w:p>
    <w:p>
      <w:pPr>
        <w:pStyle w:val="ListParagraph"/>
        <w:numPr>
          <w:ilvl w:val="0"/>
          <w:numId w:val="2"/>
        </w:numPr>
        <w:spacing w:after="100"/>
      </w:pPr>
      <w:r>
        <w:t xml:space="preserve">Pas d'escalade automatique vers Chatwoot en cas d'absence de résultat : le système répond simplement qu'il ne dispose pas de l'information, ce qui suffit pour un usage d'équipe.</w:t>
      </w:r>
    </w:p>
    <w:p>
      <w:pPr>
        <w:pStyle w:val="Heading2"/>
      </w:pPr>
      <w:r>
        <w:t xml:space="preserve">3.4 L'interface web — poser une question sans passer par n8n</w:t>
      </w:r>
    </w:p>
    <w:p>
      <w:pPr>
        <w:spacing w:after="160"/>
      </w:pPr>
      <w:r>
        <w:t xml:space="preserve">Pour rendre le système accessible à tous les collègues, y compris ceux qui ne connaissent pas n8n, une page web dédiée interroge directement la base de connaissances : il suffit de taper une question et de cliquer sur « Lancer la recherche » pour obtenir une réponse sourcée avec la liste des documents utilisés et leur score de similarité.</w:t>
      </w:r>
    </w:p>
    <w:p>
      <w:pPr>
        <w:spacing w:after="160"/>
      </w:pPr>
      <w:r>
        <w:t xml:space="preserve">Cette interface ne passe pas par le workflow n8n interne : elle appelle une fonction serveur dédiée (une « Edge Function » Supabase) qui réimplémente directement le même pipeline (embedding, recherche vectorielle, génération de réponse), ce qui la rend plus stable et plus rapide à faire évoluer.</w:t>
      </w:r>
    </w:p>
    <w:p>
      <w:pPr>
        <w:pStyle w:val="Heading1"/>
      </w:pPr>
      <w:r>
        <w:t xml:space="preserve">4. Comment utiliser le système au quotidien</w:t>
      </w:r>
    </w:p>
    <w:p>
      <w:pPr>
        <w:pStyle w:val="Heading2"/>
      </w:pPr>
      <w:r>
        <w:t xml:space="preserve">4.1 Poser une question à la base de connaissances (usage interne)</w:t>
      </w:r>
    </w:p>
    <w:p>
      <w:pPr>
        <w:spacing w:after="160"/>
      </w:pPr>
      <w:r>
        <w:t xml:space="preserve">La façon la plus simple, pour un collègue, est d'utiliser l'interface web dédiée : ouvrir la page dans un navigateur, taper la question en langage naturel, et lancer la recherche. Aucune compétence technique n'est nécessaire.</w:t>
      </w:r>
    </w:p>
    <w:p>
      <w:pPr>
        <w:pStyle w:val="Heading2"/>
      </w:pPr>
      <w:r>
        <w:t xml:space="preserve">4.2 Ajouter un nouveau document à la base de connaissances</w:t>
      </w:r>
    </w:p>
    <w:p>
      <w:pPr>
        <w:pStyle w:val="ListParagraph"/>
        <w:numPr>
          <w:ilvl w:val="0"/>
          <w:numId w:val="3"/>
        </w:numPr>
        <w:spacing w:after="100"/>
      </w:pPr>
      <w:r>
        <w:t xml:space="preserve">Déposer le document dans l'un des 8 dossiers Google Drive surveillés, selon sa thématique.</w:t>
      </w:r>
    </w:p>
    <w:p>
      <w:pPr>
        <w:pStyle w:val="ListParagraph"/>
        <w:numPr>
          <w:ilvl w:val="0"/>
          <w:numId w:val="3"/>
        </w:numPr>
        <w:spacing w:after="100"/>
      </w:pPr>
      <w:r>
        <w:t xml:space="preserve">Si le document est un .docx, .pptx ou tout autre format non natif Google, générer et déposer à côté un fichier .txt contenant le texte extrait proprement (par exemple avec l'outil pandoc, ou toute méthode d'extraction de texte fiable).</w:t>
      </w:r>
    </w:p>
    <w:p>
      <w:pPr>
        <w:pStyle w:val="ListParagraph"/>
        <w:numPr>
          <w:ilvl w:val="0"/>
          <w:numId w:val="3"/>
        </w:numPr>
        <w:spacing w:after="100"/>
      </w:pPr>
      <w:r>
        <w:t xml:space="preserve">Attendre le prochain cycle automatique d'ingestion (jusqu'à 6 heures), ou demander un déclenchement manuel du workflow via l'éditeur n8n si une prise en compte plus rapide est nécessaire.</w:t>
      </w:r>
    </w:p>
    <w:p>
      <w:pPr>
        <w:pStyle w:val="Heading2"/>
      </w:pPr>
      <w:r>
        <w:t xml:space="preserve">4.3 Ce qu'il ne faut jamais déposer dans ces dossiers</w:t>
      </w:r>
    </w:p>
    <w:p>
      <w:pPr>
        <w:spacing w:after="160"/>
      </w:pPr>
      <w:r>
        <w:t xml:space="preserve">Le système ne filtre pas le contenu par niveau de confidentialité : tout document déposé dans l'un des 8 dossiers surveillés peut potentiellement être cité dans une réponse à un prospect externe. Il ne faut donc jamais y déposer :</w:t>
      </w:r>
    </w:p>
    <w:p>
      <w:pPr>
        <w:pStyle w:val="ListParagraph"/>
        <w:numPr>
          <w:ilvl w:val="0"/>
          <w:numId w:val="2"/>
        </w:numPr>
        <w:spacing w:after="100"/>
      </w:pPr>
      <w:r>
        <w:t xml:space="preserve">des tarifs internes non destinés à être communiqués tels quels,</w:t>
      </w:r>
    </w:p>
    <w:p>
      <w:pPr>
        <w:pStyle w:val="ListParagraph"/>
        <w:numPr>
          <w:ilvl w:val="0"/>
          <w:numId w:val="2"/>
        </w:numPr>
        <w:spacing w:after="100"/>
      </w:pPr>
      <w:r>
        <w:t xml:space="preserve">des argumentaires commerciaux strictement internes,</w:t>
      </w:r>
    </w:p>
    <w:p>
      <w:pPr>
        <w:pStyle w:val="ListParagraph"/>
        <w:numPr>
          <w:ilvl w:val="0"/>
          <w:numId w:val="2"/>
        </w:numPr>
        <w:spacing w:after="100"/>
      </w:pPr>
      <w:r>
        <w:t xml:space="preserve">des identifiants techniques, mots de passe ou informations d'accès,</w:t>
      </w:r>
    </w:p>
    <w:p>
      <w:pPr>
        <w:pStyle w:val="ListParagraph"/>
        <w:numPr>
          <w:ilvl w:val="0"/>
          <w:numId w:val="2"/>
        </w:numPr>
        <w:spacing w:after="100"/>
      </w:pPr>
      <w:r>
        <w:t xml:space="preserve">des données personnelles de tiers non anonymisées.</w:t>
      </w:r>
    </w:p>
    <w:p>
      <w:pPr>
        <w:pStyle w:val="Heading2"/>
      </w:pPr>
      <w:r>
        <w:t xml:space="preserve">4.4 Délai de prise en compte</w:t>
      </w:r>
    </w:p>
    <w:p>
      <w:pPr>
        <w:spacing w:after="160"/>
      </w:pPr>
      <w:r>
        <w:t xml:space="preserve">Un nouveau document déposé aujourd'hui sera automatiquement pris en compte par le système RAG dans un délai maximum de 6 heures, correspondant au cycle d'exécution automatique du workflow d'ingestion. Un déclenchement manuel immédiat reste possible depuis l'éditeur n8n pour les cas urgents.</w:t>
      </w:r>
    </w:p>
    <w:p>
      <w:pPr>
        <w:pStyle w:val="Heading1"/>
      </w:pPr>
      <w:r>
        <w:t xml:space="preserve">5. Points clés à retenir</w:t>
      </w:r>
    </w:p>
    <w:p>
      <w:pPr>
        <w:pStyle w:val="ListParagraph"/>
        <w:numPr>
          <w:ilvl w:val="0"/>
          <w:numId w:val="2"/>
        </w:numPr>
        <w:spacing w:after="100"/>
      </w:pPr>
      <w:r>
        <w:t xml:space="preserve">Un RAG combine une recherche documentaire intelligente et une IA rédactionnelle pour produire des réponses fiables et sourcées.</w:t>
      </w:r>
    </w:p>
    <w:p>
      <w:pPr>
        <w:pStyle w:val="ListParagraph"/>
        <w:numPr>
          <w:ilvl w:val="0"/>
          <w:numId w:val="2"/>
        </w:numPr>
        <w:spacing w:after="100"/>
      </w:pPr>
      <w:r>
        <w:t xml:space="preserve">Ce n'est pas réservé à l'informatique : tous les métiers peuvent en bénéficier dès qu'ils s'appuient sur une documentation de référence.</w:t>
      </w:r>
    </w:p>
    <w:p>
      <w:pPr>
        <w:pStyle w:val="ListParagraph"/>
        <w:numPr>
          <w:ilvl w:val="0"/>
          <w:numId w:val="2"/>
        </w:numPr>
        <w:spacing w:after="100"/>
      </w:pPr>
      <w:r>
        <w:t xml:space="preserve">Par rapport à une situation « avant RAG », le gain se mesure sur six dimensions concrètes : rapidité de recherche, disponibilité 24/7, cohérence des réponses, fraîcheur de l'information, charge réduite sur les experts, traçabilité (voir section 2.3).</w:t>
      </w:r>
    </w:p>
    <w:p>
      <w:pPr>
        <w:pStyle w:val="ListParagraph"/>
        <w:numPr>
          <w:ilvl w:val="0"/>
          <w:numId w:val="2"/>
        </w:numPr>
        <w:spacing w:after="100"/>
      </w:pPr>
      <w:r>
        <w:t xml:space="preserve">Chez TransferAI, quatre briques travaillent en tandem : l'ingestion alimente la base documentaire, et trois points d'accès l'interrogent — le canal externe (e-mail/chat/WhatsApp), le workflow interne dédié, et l'interface web pour les collègues.</w:t>
      </w:r>
    </w:p>
    <w:p>
      <w:pPr>
        <w:pStyle w:val="ListParagraph"/>
        <w:numPr>
          <w:ilvl w:val="0"/>
          <w:numId w:val="2"/>
        </w:numPr>
        <w:spacing w:after="100"/>
      </w:pPr>
      <w:r>
        <w:t xml:space="preserve">La qualité des réponses dépend directement de la qualité et de la mise à jour des documents déposés dans les dossiers Drive surveillés.</w:t>
      </w:r>
    </w:p>
    <w:p>
      <w:pPr>
        <w:pStyle w:val="ListParagraph"/>
        <w:numPr>
          <w:ilvl w:val="0"/>
          <w:numId w:val="2"/>
        </w:numPr>
        <w:spacing w:after="100"/>
      </w:pPr>
      <w:r>
        <w:t xml:space="preserve">Toute question sans réponse fiable trouvée est automatiquement transmise à un conseiller humain — le système ne laisse jamais un prospect sans suite.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0213D"/>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F6FB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2026-07-08T21:30:46.681Z</dcterms:created>
  <dcterms:modified xsi:type="dcterms:W3CDTF">2026-07-08T21:30:46.682Z</dcterms:modified>
</cp:coreProperties>
</file>

<file path=docProps/custom.xml><?xml version="1.0" encoding="utf-8"?>
<Properties xmlns="http://schemas.openxmlformats.org/officeDocument/2006/custom-properties" xmlns:vt="http://schemas.openxmlformats.org/officeDocument/2006/docPropsVTypes"/>
</file>