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right"/>
      </w:pPr>
      <w:r>
        <w:rPr>
          <w:rFonts w:ascii="Calibri" w:hAnsi="Calibri"/>
          <w:b w:val="0"/>
          <w:i w:val="0"/>
          <w:color w:val="5C6777"/>
          <w:sz w:val="21"/>
        </w:rPr>
        <w:t>Abidjan, le 22 mai 2026</w:t>
      </w:r>
    </w:p>
    <w:p>
      <w:pPr>
        <w:spacing w:after="20"/>
      </w:pPr>
      <w:r>
        <w:rPr>
          <w:rFonts w:ascii="Calibri" w:hAnsi="Calibri"/>
          <w:b/>
          <w:i w:val="0"/>
          <w:color w:val="17263E"/>
          <w:sz w:val="22"/>
        </w:rPr>
        <w:t>À l'attention de Monsieur le Directeur Général</w:t>
      </w:r>
    </w:p>
    <w:p>
      <w:pPr>
        <w:spacing w:after="20"/>
      </w:pPr>
      <w:r>
        <w:rPr>
          <w:rFonts w:ascii="Calibri" w:hAnsi="Calibri"/>
          <w:b/>
          <w:i w:val="0"/>
          <w:color w:val="17263E"/>
          <w:sz w:val="22"/>
        </w:rPr>
        <w:t>ELTON Oil CI</w:t>
      </w:r>
    </w:p>
    <w:p>
      <w:pPr>
        <w:spacing w:after="200"/>
      </w:pPr>
      <w:r>
        <w:rPr>
          <w:rFonts w:ascii="Calibri" w:hAnsi="Calibri"/>
          <w:b w:val="0"/>
          <w:i w:val="0"/>
          <w:color w:val="5C6777"/>
          <w:sz w:val="22"/>
        </w:rPr>
        <w:t>Abidjan, Côte d'Ivoire</w:t>
      </w:r>
    </w:p>
    <w:p>
      <w:pPr>
        <w:spacing w:after="240"/>
      </w:pPr>
      <w:r>
        <w:rPr>
          <w:rFonts w:ascii="Calibri" w:hAnsi="Calibri"/>
          <w:b/>
          <w:i w:val="0"/>
          <w:color w:val="17263E"/>
          <w:sz w:val="23"/>
        </w:rPr>
        <w:t>Objet : Proposition d'audit IA et d'accompagnement opérationnel pour ELTON Oil CI</w:t>
      </w:r>
    </w:p>
    <w:p>
      <w:pPr>
        <w:spacing w:after="200"/>
      </w:pPr>
      <w:r>
        <w:rPr>
          <w:rFonts w:ascii="Calibri" w:hAnsi="Calibri"/>
          <w:b w:val="0"/>
          <w:i w:val="0"/>
          <w:color w:val="17263E"/>
          <w:sz w:val="22"/>
        </w:rPr>
        <w:t>Monsieur le Directeur Général,</w:t>
      </w:r>
    </w:p>
    <w:p>
      <w:pPr>
        <w:spacing w:after="160"/>
      </w:pPr>
      <w:r>
        <w:rPr>
          <w:rFonts w:ascii="Calibri" w:hAnsi="Calibri"/>
          <w:b w:val="0"/>
          <w:i w:val="0"/>
          <w:color w:val="17263E"/>
          <w:sz w:val="22"/>
        </w:rPr>
        <w:t>Je me permets de vous adresser, en pièce jointe, une offre ciblée conçue pour ELTON Oil CI.</w:t>
      </w:r>
    </w:p>
    <w:p>
      <w:pPr>
        <w:spacing w:after="160"/>
      </w:pPr>
      <w:r>
        <w:rPr>
          <w:rFonts w:ascii="Calibri" w:hAnsi="Calibri"/>
          <w:b w:val="0"/>
          <w:i w:val="0"/>
          <w:color w:val="17263E"/>
          <w:sz w:val="22"/>
        </w:rPr>
        <w:t>Chez TransferAI Africa, nous accompagnons les entreprises qui souhaitent aborder l'intelligence artificielle de manière utile, progressive et maîtrisée. Notre conviction est qu'une structure comme ELTON peut tirer une valeur concrète de l'IA non pas en ajoutant un outil générique, mais en partant de quelques priorités opérationnelles clairement identifiées.</w:t>
      </w:r>
    </w:p>
    <w:p>
      <w:pPr>
        <w:spacing w:after="160"/>
      </w:pPr>
      <w:r>
        <w:rPr>
          <w:rFonts w:ascii="Calibri" w:hAnsi="Calibri"/>
          <w:b w:val="0"/>
          <w:i w:val="0"/>
          <w:color w:val="17263E"/>
          <w:sz w:val="22"/>
        </w:rPr>
        <w:t>Au regard de vos activités, nous pensons qu'une première démarche structurée pourrait utilement porter sur :</w:t>
      </w:r>
    </w:p>
    <w:p>
      <w:pPr>
        <w:spacing w:after="100"/>
        <w:ind w:left="360" w:hanging="216"/>
      </w:pPr>
      <w:r>
        <w:rPr>
          <w:rFonts w:ascii="Calibri" w:hAnsi="Calibri"/>
          <w:b w:val="0"/>
          <w:i w:val="0"/>
          <w:color w:val="17263E"/>
          <w:sz w:val="22"/>
        </w:rPr>
        <w:t>• le pilotage des comptes professionnels et le suivi des relances ;</w:t>
      </w:r>
    </w:p>
    <w:p>
      <w:pPr>
        <w:spacing w:after="100"/>
        <w:ind w:left="360" w:hanging="216"/>
      </w:pPr>
      <w:r>
        <w:rPr>
          <w:rFonts w:ascii="Calibri" w:hAnsi="Calibri"/>
          <w:b w:val="0"/>
          <w:i w:val="0"/>
          <w:color w:val="17263E"/>
          <w:sz w:val="22"/>
        </w:rPr>
        <w:t>• l'exploitation des données liées à la flotte, aux cartes carburant et aux opérations ;</w:t>
      </w:r>
    </w:p>
    <w:p>
      <w:pPr>
        <w:spacing w:after="100"/>
        <w:ind w:left="360" w:hanging="216"/>
      </w:pPr>
      <w:r>
        <w:rPr>
          <w:rFonts w:ascii="Calibri" w:hAnsi="Calibri"/>
          <w:b w:val="0"/>
          <w:i w:val="0"/>
          <w:color w:val="17263E"/>
          <w:sz w:val="22"/>
        </w:rPr>
        <w:t>• l'amélioration du suivi client et du service auto ;</w:t>
      </w:r>
    </w:p>
    <w:p>
      <w:pPr>
        <w:spacing w:after="100"/>
        <w:ind w:left="360" w:hanging="216"/>
      </w:pPr>
      <w:r>
        <w:rPr>
          <w:rFonts w:ascii="Calibri" w:hAnsi="Calibri"/>
          <w:b w:val="0"/>
          <w:i w:val="0"/>
          <w:color w:val="17263E"/>
          <w:sz w:val="22"/>
        </w:rPr>
        <w:t>• la diffusion plus simple des procédures, standards et informations utiles aux équipes.</w:t>
      </w:r>
    </w:p>
    <w:p>
      <w:pPr>
        <w:spacing w:before="80" w:after="160"/>
      </w:pPr>
      <w:r>
        <w:rPr>
          <w:rFonts w:ascii="Calibri" w:hAnsi="Calibri"/>
          <w:b w:val="0"/>
          <w:i w:val="0"/>
          <w:color w:val="17263E"/>
          <w:sz w:val="22"/>
        </w:rPr>
        <w:t>Notre approche se distingue par quatre principes simples :</w:t>
      </w:r>
    </w:p>
    <w:p>
      <w:pPr>
        <w:spacing w:after="100"/>
        <w:ind w:left="360" w:hanging="216"/>
      </w:pPr>
      <w:r>
        <w:rPr>
          <w:rFonts w:ascii="Calibri" w:hAnsi="Calibri"/>
          <w:b w:val="0"/>
          <w:i w:val="0"/>
          <w:color w:val="17263E"/>
          <w:sz w:val="22"/>
        </w:rPr>
        <w:t>• partir des besoins métier avant de parler d'outil ;</w:t>
      </w:r>
    </w:p>
    <w:p>
      <w:pPr>
        <w:spacing w:after="100"/>
        <w:ind w:left="360" w:hanging="216"/>
      </w:pPr>
      <w:r>
        <w:rPr>
          <w:rFonts w:ascii="Calibri" w:hAnsi="Calibri"/>
          <w:b w:val="0"/>
          <w:i w:val="0"/>
          <w:color w:val="17263E"/>
          <w:sz w:val="22"/>
        </w:rPr>
        <w:t>• former les bonnes populations au bon niveau ;</w:t>
      </w:r>
    </w:p>
    <w:p>
      <w:pPr>
        <w:spacing w:after="100"/>
        <w:ind w:left="360" w:hanging="216"/>
      </w:pPr>
      <w:r>
        <w:rPr>
          <w:rFonts w:ascii="Calibri" w:hAnsi="Calibri"/>
          <w:b w:val="0"/>
          <w:i w:val="0"/>
          <w:color w:val="17263E"/>
          <w:sz w:val="22"/>
        </w:rPr>
        <w:t>• intégrer dès le départ les exigences de confidentialité, de gouvernance et de validation humaine ;</w:t>
      </w:r>
    </w:p>
    <w:p>
      <w:pPr>
        <w:spacing w:after="100"/>
        <w:ind w:left="360" w:hanging="216"/>
      </w:pPr>
      <w:r>
        <w:rPr>
          <w:rFonts w:ascii="Calibri" w:hAnsi="Calibri"/>
          <w:b w:val="0"/>
          <w:i w:val="0"/>
          <w:color w:val="17263E"/>
          <w:sz w:val="22"/>
        </w:rPr>
        <w:t>• n'engager un pilote qu'après un diagnostic court et des priorités partagées.</w:t>
      </w:r>
    </w:p>
    <w:p>
      <w:pPr>
        <w:spacing w:before="80" w:after="160"/>
      </w:pPr>
      <w:r>
        <w:rPr>
          <w:rFonts w:ascii="Calibri" w:hAnsi="Calibri"/>
          <w:b w:val="0"/>
          <w:i w:val="0"/>
          <w:color w:val="17263E"/>
          <w:sz w:val="22"/>
        </w:rPr>
        <w:t>Dans cet esprit, nous souhaiterions vous proposer un point d'entrée simple et sans engagement :</w:t>
      </w:r>
    </w:p>
    <w:p>
      <w:pPr>
        <w:spacing w:after="100"/>
        <w:ind w:left="360" w:hanging="216"/>
      </w:pPr>
      <w:r>
        <w:rPr>
          <w:rFonts w:ascii="Calibri" w:hAnsi="Calibri"/>
          <w:b w:val="0"/>
          <w:i w:val="0"/>
          <w:color w:val="17263E"/>
          <w:sz w:val="22"/>
        </w:rPr>
        <w:t>• un échange de cadrage de 45 minutes avec vous ou la personne que vous désignerez ;</w:t>
      </w:r>
    </w:p>
    <w:p>
      <w:pPr>
        <w:spacing w:after="100"/>
        <w:ind w:left="360" w:hanging="216"/>
      </w:pPr>
      <w:r>
        <w:rPr>
          <w:rFonts w:ascii="Calibri" w:hAnsi="Calibri"/>
          <w:b w:val="0"/>
          <w:i w:val="0"/>
          <w:color w:val="17263E"/>
          <w:sz w:val="22"/>
        </w:rPr>
        <w:t>• un audit d'entrée gratuit centré sur quelques sujets prioritaires ;</w:t>
      </w:r>
    </w:p>
    <w:p>
      <w:pPr>
        <w:spacing w:after="100"/>
        <w:ind w:left="360" w:hanging="216"/>
      </w:pPr>
      <w:r>
        <w:rPr>
          <w:rFonts w:ascii="Calibri" w:hAnsi="Calibri"/>
          <w:b w:val="0"/>
          <w:i w:val="0"/>
          <w:color w:val="17263E"/>
          <w:sz w:val="22"/>
        </w:rPr>
        <w:t>• une note de recommandations présentant les cas d'usage à arbitrer, les besoins de formation et une première feuille de route.</w:t>
      </w:r>
    </w:p>
    <w:p>
      <w:pPr>
        <w:spacing w:after="160"/>
      </w:pPr>
      <w:r>
        <w:rPr>
          <w:rFonts w:ascii="Calibri" w:hAnsi="Calibri"/>
          <w:b w:val="0"/>
          <w:i w:val="0"/>
          <w:color w:val="17263E"/>
          <w:sz w:val="22"/>
        </w:rPr>
        <w:t>Si cette démarche retient votre attention, nous serions heureux de convenir d'un court échange afin de vous présenter l'offre et de vérifier ensemble les sujets sur lesquels TransferAI Africa pourrait vous être utile.</w:t>
      </w:r>
    </w:p>
    <w:p>
      <w:pPr>
        <w:spacing w:after="160"/>
      </w:pPr>
      <w:r>
        <w:rPr>
          <w:rFonts w:ascii="Calibri" w:hAnsi="Calibri"/>
          <w:b w:val="0"/>
          <w:i w:val="0"/>
          <w:color w:val="17263E"/>
          <w:sz w:val="22"/>
        </w:rPr>
        <w:t>Je vous remercie par avance pour votre attention et vous prie d'agréer, Monsieur le Directeur Général, l'expression de ma haute considération.</w:t>
      </w:r>
    </w:p>
    <w:p>
      <w:pPr>
        <w:spacing w:before="160" w:after="120"/>
      </w:pPr>
      <w:r>
        <w:rPr>
          <w:rFonts w:ascii="Calibri" w:hAnsi="Calibri"/>
          <w:b/>
          <w:i w:val="0"/>
          <w:color w:val="17263E"/>
          <w:sz w:val="22"/>
        </w:rPr>
        <w:t>Pour TransferAI Africa</w:t>
      </w:r>
    </w:p>
    <w:p>
      <w:pPr>
        <w:spacing w:after="20"/>
      </w:pPr>
      <w:r>
        <w:rPr>
          <w:rFonts w:ascii="Calibri" w:hAnsi="Calibri"/>
          <w:b/>
          <w:i w:val="0"/>
          <w:color w:val="17263E"/>
          <w:sz w:val="21"/>
        </w:rPr>
        <w:t>Casimir Kassi BEDA</w:t>
      </w:r>
    </w:p>
    <w:p>
      <w:pPr>
        <w:spacing w:after="100"/>
      </w:pPr>
      <w:r>
        <w:rPr>
          <w:rFonts w:ascii="Calibri" w:hAnsi="Calibri"/>
          <w:b w:val="0"/>
          <w:i w:val="0"/>
          <w:color w:val="5C6777"/>
          <w:sz w:val="19"/>
        </w:rPr>
        <w:t>Directeur Général</w:t>
      </w:r>
    </w:p>
    <w:p>
      <w:pPr>
        <w:spacing w:after="20"/>
      </w:pPr>
      <w:r>
        <w:rPr>
          <w:rFonts w:ascii="Calibri" w:hAnsi="Calibri"/>
          <w:b/>
          <w:i w:val="0"/>
          <w:color w:val="17263E"/>
          <w:sz w:val="21"/>
        </w:rPr>
        <w:t>Eric N'Guessan</w:t>
      </w:r>
    </w:p>
    <w:p>
      <w:pPr>
        <w:spacing w:after="100"/>
      </w:pPr>
      <w:r>
        <w:rPr>
          <w:rFonts w:ascii="Calibri" w:hAnsi="Calibri"/>
          <w:b w:val="0"/>
          <w:i w:val="0"/>
          <w:color w:val="5C6777"/>
          <w:sz w:val="19"/>
        </w:rPr>
        <w:t>Dir. Audit, Pédagogie &amp; Certifications</w:t>
      </w:r>
    </w:p>
    <w:p>
      <w:pPr>
        <w:spacing w:after="20"/>
      </w:pPr>
      <w:r>
        <w:rPr>
          <w:rFonts w:ascii="Calibri" w:hAnsi="Calibri"/>
          <w:b/>
          <w:i w:val="0"/>
          <w:color w:val="17263E"/>
          <w:sz w:val="21"/>
        </w:rPr>
        <w:t>Marius Ayoro</w:t>
      </w:r>
    </w:p>
    <w:p>
      <w:pPr>
        <w:spacing w:after="100"/>
      </w:pPr>
      <w:r>
        <w:rPr>
          <w:rFonts w:ascii="Calibri" w:hAnsi="Calibri"/>
          <w:b w:val="0"/>
          <w:i w:val="0"/>
          <w:color w:val="5C6777"/>
          <w:sz w:val="19"/>
        </w:rPr>
        <w:t>Dir. Développement &amp; Partenariats</w:t>
      </w:r>
    </w:p>
    <w:sectPr w:rsidR="00FC693F" w:rsidRPr="0006063C" w:rsidSect="00034616">
      <w:head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jc w:val="left"/>
    </w:pPr>
    <w:r>
      <w:rPr>
        <w:rFonts w:ascii="Calibri" w:hAnsi="Calibri"/>
        <w:b/>
        <w:i w:val="0"/>
        <w:color w:val="17263E"/>
        <w:sz w:val="26"/>
      </w:rPr>
      <w:t>TransferAI Africa</w:t>
    </w:r>
  </w:p>
  <w:p>
    <w:pPr>
      <w:spacing w:after="40"/>
    </w:pPr>
    <w:r>
      <w:rPr>
        <w:rFonts w:ascii="Calibri" w:hAnsi="Calibri"/>
        <w:b w:val="0"/>
        <w:i w:val="0"/>
        <w:color w:val="5C6777"/>
        <w:sz w:val="19"/>
      </w:rPr>
      <w:t>Audit IA | Formation ciblée | Accompagnement de mise en œuvre</w:t>
    </w:r>
  </w:p>
  <w:p>
    <w:pPr>
      <w:spacing w:after="160"/>
      <w:pBdr>
        <w:bottom w:val="single" w:sz="8" w:space="1" w:color="DE6A1F"/>
      </w:pBdr>
    </w:pPr>
    <w:r>
      <w:rPr>
        <w:sz w:val="4"/>
      </w:rPr>
      <w:t xml:space="preserve"> </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7263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7263E"/>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7263E"/>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263E"/>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