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920A"/>
          <w:sz w:val="18"/>
          <w:szCs w:val="18"/>
        </w:rPr>
        <w:t xml:space="preserve">TRANSFERAI AFRICA · CAS D'USAGE STRATÉGIQUE</w:t>
      </w:r>
    </w:p>
    <w:p>
      <w:pPr>
        <w:spacing w:after="100"/>
      </w:pPr>
      <w:r>
        <w:rPr>
          <w:b/>
          <w:bCs/>
          <w:color w:val="10263F"/>
          <w:sz w:val="52"/>
          <w:szCs w:val="52"/>
        </w:rPr>
        <w:t xml:space="preserve">Support IT Intelligent</w:t>
      </w:r>
    </w:p>
    <w:p>
      <w:pPr>
        <w:spacing w:after="260"/>
      </w:pPr>
      <w:r>
        <w:rPr>
          <w:i/>
          <w:iCs/>
          <w:color w:val="5A6472"/>
          <w:sz w:val="23"/>
          <w:szCs w:val="23"/>
        </w:rPr>
        <w:t xml:space="preserve">Guide utilisateur — Triage automatique des tickets IT par intelligence artificielle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SECTEUR CIBLE</w:t>
            </w:r>
          </w:p>
          <w:p>
            <w:r>
              <w:rPr>
                <w:b/>
                <w:bCs/>
                <w:color w:val="10263F"/>
                <w:sz w:val="19"/>
                <w:szCs w:val="19"/>
              </w:rPr>
              <w:t xml:space="preserve">IT &amp; Transformation Digitale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AUDIENCE</w:t>
            </w:r>
          </w:p>
          <w:p>
            <w:r>
              <w:rPr>
                <w:b/>
                <w:bCs/>
                <w:color w:val="10263F"/>
                <w:sz w:val="19"/>
                <w:szCs w:val="19"/>
              </w:rPr>
              <w:t xml:space="preserve">DSI · PMO · Innovation</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FORMAT</w:t>
            </w:r>
          </w:p>
          <w:p>
            <w:r>
              <w:rPr>
                <w:b/>
                <w:bCs/>
                <w:color w:val="10263F"/>
                <w:sz w:val="19"/>
                <w:szCs w:val="19"/>
              </w:rPr>
              <w:t xml:space="preserve">Démonstration live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MISE EN ŒUVRE</w:t>
            </w:r>
          </w:p>
          <w:p>
            <w:r>
              <w:rPr>
                <w:b/>
                <w:bCs/>
                <w:color w:val="10263F"/>
                <w:sz w:val="19"/>
                <w:szCs w:val="19"/>
              </w:rPr>
              <w:t xml:space="preserve">4 à 8 semaines</w:t>
            </w:r>
          </w:p>
        </w:tc>
      </w:tr>
    </w:tbl>
    <w:p>
      <w:pPr>
        <w:spacing w:after="0" w:before="300"/>
      </w:pPr>
    </w:p>
    <w:p>
      <w:pPr>
        <w:pBdr>
          <w:bottom w:val="single" w:color="10263F" w:sz="6" w:space="1"/>
        </w:pBdr>
        <w:spacing w:after="200" w:before="60"/>
      </w:pPr>
    </w:p>
    <w:p>
      <w:pPr>
        <w:pStyle w:val="Heading1"/>
      </w:pPr>
      <w:r>
        <w:t xml:space="preserve">1. Présentation de la solution</w:t>
      </w:r>
    </w:p>
    <w:p>
      <w:pPr>
        <w:spacing w:after="160" w:before="0"/>
      </w:pPr>
      <w:r>
        <w:rPr>
          <w:sz w:val="21"/>
          <w:szCs w:val="21"/>
        </w:rPr>
        <w:t xml:space="preserve">Support IT Intelligent automatise le cycle de vie complet d'un ticket informatique : réception multicanal, diagnostic par intelligence artificielle, résolution automatique ou escalade vers le bon technicien, et suivi des délais de résolution (SLA).</w:t>
      </w:r>
    </w:p>
    <w:p>
      <w:pPr>
        <w:spacing w:after="160" w:before="0"/>
      </w:pPr>
      <w:r>
        <w:rPr>
          <w:sz w:val="21"/>
          <w:szCs w:val="21"/>
        </w:rPr>
        <w:t xml:space="preserve">L'objectif n'est pas de remplacer l'équipe support, mais de lui donner les moyens de traiter un volume de tickets nettement supérieur, sans effectif additionnel, en réservant le temps humain aux cas qui le justifient réellement.</w:t>
      </w:r>
    </w:p>
    <w:p>
      <w:pPr>
        <w:pStyle w:val="Heading1"/>
      </w:pPr>
      <w:r>
        <w:t xml:space="preserve">2. Comment fonctionne le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Étape</w:t>
            </w:r>
          </w:p>
        </w:tc>
        <w:tc>
          <w:tcPr>
            <w:tcW w:type="dxa" w:w="7258"/>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Description</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1. Réception du ticket</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Le ticket est soumis via le canal de l'utilisateur (portail web, email, Teams, WhatsApp) et normalisé automatiquement : identité, sujet, description, urgence déclarée.</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2. Diagnostic IA</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Un modèle GPT-4o analyse le ticket et détermine la catégorie (réseau, sécurité, matériel, logiciel, accès, etc.), la criticité (P1 à P4) et un score de confiance sur la fiabilité de sa proposition de résolution.</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3. Résolution automatique ou escalade</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Si le score de confiance dépasse le seuil retenu (85 %), une réponse de résolution est envoyée directement à l'utilisateur. En dessous de ce seuil, le ticket est escaladé : l'utilisateur reçoit un accusé de réception avec le délai cible, et un brief de diagnostic détaillé est transmis au technicien compétent.</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4. Suivi SLA</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Chaque ticket se voit attribuer un délai de résolution cible selon sa criticité (de 1 heure pour les incidents critiques à 24 heures pour les demandes non urgentes), avec traçabilité complète de l'échéance.</w:t>
            </w:r>
          </w:p>
        </w:tc>
      </w:tr>
    </w:tbl>
    <w:p>
      <w:pPr>
        <w:pStyle w:val="Heading1"/>
      </w:pPr>
      <w:r>
        <w:t xml:space="preserve">3. Objectifs de performance visés</w:t>
      </w:r>
    </w:p>
    <w:p>
      <w:pPr>
        <w:spacing w:after="160" w:before="0"/>
      </w:pPr>
      <w:r>
        <w:rPr>
          <w:i/>
          <w:iCs/>
          <w:color w:val="5A6472"/>
          <w:sz w:val="19"/>
          <w:szCs w:val="19"/>
        </w:rPr>
        <w:t xml:space="preserve">Les ordres de grandeur ci-dessous correspondent aux objectifs visés par ce type de déploiement sur un périmètre pilote (50 à 200 tickets/mois) ; ils sont à confirmer et affiner avec les données réelles du client une fois le pilote lancé.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rPr>
          <w:tblHeader/>
        </w:trPr>
        <w:tc>
          <w:tcPr>
            <w:tcW w:type="dxa" w:w="625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Indicateur</w:t>
            </w:r>
          </w:p>
        </w:tc>
        <w:tc>
          <w:tcPr>
            <w:tcW w:type="dxa" w:w="383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Objectif visé</w:t>
            </w:r>
          </w:p>
        </w:tc>
      </w:tr>
      <w:tr>
        <w:tc>
          <w:tcPr>
            <w:tcW w:type="dxa" w:w="625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Tâches manuelles de triage éliminées</w:t>
            </w:r>
          </w:p>
        </w:tc>
        <w:tc>
          <w:tcPr>
            <w:tcW w:type="dxa" w:w="383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jusqu'à -70 %</w:t>
            </w:r>
          </w:p>
        </w:tc>
      </w:tr>
      <w:tr>
        <w:tc>
          <w:tcPr>
            <w:tcW w:type="dxa" w:w="625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Temps moyen de résolution (MTTR)</w:t>
            </w:r>
          </w:p>
        </w:tc>
        <w:tc>
          <w:tcPr>
            <w:tcW w:type="dxa" w:w="383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jusqu'à ×3 plus rapide</w:t>
            </w:r>
          </w:p>
        </w:tc>
      </w:tr>
      <w:tr>
        <w:tc>
          <w:tcPr>
            <w:tcW w:type="dxa" w:w="625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Conformité SLA sur incidents P1/P2</w:t>
            </w:r>
          </w:p>
        </w:tc>
        <w:tc>
          <w:tcPr>
            <w:tcW w:type="dxa" w:w="383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jusqu'à +85 %</w:t>
            </w:r>
          </w:p>
        </w:tc>
      </w:tr>
      <w:tr>
        <w:tc>
          <w:tcPr>
            <w:tcW w:type="dxa" w:w="625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Coût opérationnel support N1 (12 mois)</w:t>
            </w:r>
          </w:p>
        </w:tc>
        <w:tc>
          <w:tcPr>
            <w:tcW w:type="dxa" w:w="383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jusqu'à -60 %</w:t>
            </w:r>
          </w:p>
        </w:tc>
      </w:tr>
    </w:tbl>
    <w:p>
      <w:pPr>
        <w:pStyle w:val="Heading1"/>
      </w:pPr>
      <w:r>
        <w:t xml:space="preserve">4. Avant / après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Aujourd'hui (sans IA)</w:t>
            </w:r>
          </w:p>
        </w:tc>
        <w:tc>
          <w:tcPr>
            <w:tcW w:type="dxa" w:w="504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Avec Support IT Intelligent</w:t>
            </w:r>
          </w:p>
        </w:tc>
      </w:tr>
      <w:tr>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Triage manuel : 15 à 30 minutes par ticket</w:t>
            </w:r>
          </w:p>
        </w:tc>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Triage automatique par IA en quelques secondes</w:t>
            </w:r>
          </w:p>
        </w:tc>
      </w:tr>
      <w:tr>
        <w:tc>
          <w:tcPr>
            <w:tcW w:type="dxa" w:w="504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Routage par email, erreurs d'affectation fréquentes</w:t>
            </w:r>
          </w:p>
        </w:tc>
        <w:tc>
          <w:tcPr>
            <w:tcW w:type="dxa" w:w="504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Routage intelligent vers l'expert compétent</w:t>
            </w:r>
          </w:p>
        </w:tc>
      </w:tr>
      <w:tr>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Aucune visibilité SLA en temps réel</w:t>
            </w:r>
          </w:p>
        </w:tc>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Suivi SLA avec échéance attribuée dès la réception</w:t>
            </w:r>
          </w:p>
        </w:tc>
      </w:tr>
      <w:tr>
        <w:tc>
          <w:tcPr>
            <w:tcW w:type="dxa" w:w="504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Résolution N1 : 4 à 8 heures en moyenne</w:t>
            </w:r>
          </w:p>
        </w:tc>
        <w:tc>
          <w:tcPr>
            <w:tcW w:type="dxa" w:w="504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Résolution automatique en quelques minutes pour les cas éligibles</w:t>
            </w:r>
          </w:p>
        </w:tc>
      </w:tr>
      <w:tr>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Perte de contexte lors de l'escalade</w:t>
            </w:r>
          </w:p>
        </w:tc>
        <w:tc>
          <w:tcPr>
            <w:tcW w:type="dxa" w:w="504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Brief de diagnostic complet transmis au technicien</w:t>
            </w:r>
          </w:p>
        </w:tc>
      </w:tr>
    </w:tbl>
    <w:p>
      <w:r>
        <w:br w:type="page"/>
      </w:r>
    </w:p>
    <w:p>
      <w:pPr>
        <w:pStyle w:val="Heading1"/>
      </w:pPr>
      <w:r>
        <w:t xml:space="preserve">5. Tester la démonstration en direct</w:t>
      </w:r>
    </w:p>
    <w:p>
      <w:pPr>
        <w:spacing w:after="160" w:before="0"/>
      </w:pPr>
      <w:r>
        <w:rPr>
          <w:sz w:val="21"/>
          <w:szCs w:val="21"/>
        </w:rPr>
        <w:t xml:space="preserve">Une page de démonstration permet de soumettre un ticket réel et d'observer le traitement par le workflow en quelques secondes.</w:t>
      </w:r>
    </w:p>
    <w:p>
      <w:pPr>
        <w:pStyle w:val="ListParagraph"/>
        <w:numPr>
          <w:ilvl w:val="0"/>
          <w:numId w:val="2"/>
        </w:numPr>
        <w:spacing w:after="100"/>
      </w:pPr>
      <w:r>
        <w:rPr>
          <w:sz w:val="21"/>
          <w:szCs w:val="21"/>
        </w:rPr>
        <w:t xml:space="preserve">Ouvrir la page de démonstration : www.transferai.ci/demo/support-it-intelligent</w:t>
      </w:r>
    </w:p>
    <w:p>
      <w:pPr>
        <w:pStyle w:val="ListParagraph"/>
        <w:numPr>
          <w:ilvl w:val="0"/>
          <w:numId w:val="2"/>
        </w:numPr>
        <w:spacing w:after="100"/>
      </w:pPr>
      <w:r>
        <w:rPr>
          <w:sz w:val="21"/>
          <w:szCs w:val="21"/>
        </w:rPr>
        <w:t xml:space="preserve">Renseigner le nom complet, l'adresse email et, si souhaité, le département du demandeur.</w:t>
      </w:r>
    </w:p>
    <w:p>
      <w:pPr>
        <w:pStyle w:val="ListParagraph"/>
        <w:numPr>
          <w:ilvl w:val="0"/>
          <w:numId w:val="2"/>
        </w:numPr>
        <w:spacing w:after="100"/>
      </w:pPr>
      <w:r>
        <w:rPr>
          <w:sz w:val="21"/>
          <w:szCs w:val="21"/>
        </w:rPr>
        <w:t xml:space="preserve">Décrire le ticket : sujet, description détaillée, urgence perçue, canal d'origine.</w:t>
      </w:r>
    </w:p>
    <w:p>
      <w:pPr>
        <w:pStyle w:val="ListParagraph"/>
        <w:numPr>
          <w:ilvl w:val="0"/>
          <w:numId w:val="2"/>
        </w:numPr>
        <w:spacing w:after="100"/>
      </w:pPr>
      <w:r>
        <w:rPr>
          <w:sz w:val="21"/>
          <w:szCs w:val="21"/>
        </w:rPr>
        <w:t xml:space="preserve">Soumettre le ticket et suivre en direct les 4 étapes du workflow à l'écran : réception, diagnostic IA, décision (résolution automatique ou escalade), et objectif SLA attribué.</w:t>
      </w:r>
    </w:p>
    <w:p>
      <w:pPr>
        <w:pStyle w:val="ListParagraph"/>
        <w:numPr>
          <w:ilvl w:val="0"/>
          <w:numId w:val="2"/>
        </w:numPr>
        <w:spacing w:after="100"/>
      </w:pPr>
      <w:r>
        <w:rPr>
          <w:sz w:val="21"/>
          <w:szCs w:val="21"/>
        </w:rPr>
        <w:t xml:space="preserve">Consulter le résultat affiché (catégorie, score de confiance, décision, délai cible) ainsi que l'email envoyé automatiquement à l'adresse renseignée.</w:t>
      </w:r>
    </w:p>
    <w:p>
      <w:pPr>
        <w:spacing w:after="160" w:before="0"/>
      </w:pPr>
      <w:r>
        <w:rPr>
          <w:i/>
          <w:iCs/>
          <w:color w:val="E8920A"/>
          <w:sz w:val="19"/>
          <w:szCs w:val="19"/>
        </w:rPr>
        <w:t xml:space="preserve">Un email réel est envoyé à chaque test : utiliser une adresse que le participant peut consulter pendant la démonstration.</w:t>
      </w:r>
    </w:p>
    <w:p>
      <w:pPr>
        <w:pStyle w:val="Heading1"/>
      </w:pPr>
      <w:r>
        <w:t xml:space="preserve">6. Gouvernance, sécurité et confidentialité</w:t>
      </w:r>
    </w:p>
    <w:p>
      <w:pPr>
        <w:pStyle w:val="ListParagraph"/>
        <w:numPr>
          <w:ilvl w:val="0"/>
          <w:numId w:val="3"/>
        </w:numPr>
        <w:spacing w:after="100"/>
      </w:pPr>
      <w:r>
        <w:rPr>
          <w:sz w:val="21"/>
          <w:szCs w:val="21"/>
        </w:rPr>
        <w:t xml:space="preserve">Anonymisation avant tout appel à l'IA : le nom du demandeur n'est jamais transmis au modèle GPT-4o, qui ne reçoit que son département. Les données sensibles saisies en texte libre dans le ticket (email, téléphone, nom d'un tiers, etc.) sont automatiquement détectées et remplacées par des jetons avant l'analyse, puis restaurées uniquement dans la réponse finale adressée au demandeur et au technicien.</w:t>
      </w:r>
    </w:p>
    <w:p>
      <w:pPr>
        <w:pStyle w:val="ListParagraph"/>
        <w:numPr>
          <w:ilvl w:val="0"/>
          <w:numId w:val="3"/>
        </w:numPr>
        <w:spacing w:after="100"/>
      </w:pPr>
      <w:r>
        <w:rPr>
          <w:sz w:val="21"/>
          <w:szCs w:val="21"/>
        </w:rPr>
        <w:t xml:space="preserve">Contrôle humain maintenu : toute décision à fort impact (escalade, technicien assigné) reste validée par une personne.</w:t>
      </w:r>
    </w:p>
    <w:p>
      <w:pPr>
        <w:pStyle w:val="ListParagraph"/>
        <w:numPr>
          <w:ilvl w:val="0"/>
          <w:numId w:val="3"/>
        </w:numPr>
        <w:spacing w:after="100"/>
      </w:pPr>
      <w:r>
        <w:rPr>
          <w:sz w:val="21"/>
          <w:szCs w:val="21"/>
        </w:rPr>
        <w:t xml:space="preserve">Traçabilité totale : chaque ticket, sa classification et sa décision sont horodatés et conservés.</w:t>
      </w:r>
    </w:p>
    <w:p>
      <w:pPr>
        <w:pStyle w:val="ListParagraph"/>
        <w:numPr>
          <w:ilvl w:val="0"/>
          <w:numId w:val="3"/>
        </w:numPr>
        <w:spacing w:after="100"/>
      </w:pPr>
      <w:r>
        <w:rPr>
          <w:sz w:val="21"/>
          <w:szCs w:val="21"/>
        </w:rPr>
        <w:t xml:space="preserve">Aucune refonte du système d'information existant : intégration native avec l'outil ITSM en place (ServiceNow, Jira, Freshdesk), l'email, Teams et WhatsApp.</w:t>
      </w:r>
    </w:p>
    <w:p>
      <w:pPr>
        <w:pStyle w:val="ListParagraph"/>
        <w:numPr>
          <w:ilvl w:val="0"/>
          <w:numId w:val="3"/>
        </w:numPr>
        <w:spacing w:after="100"/>
      </w:pPr>
      <w:r>
        <w:rPr>
          <w:sz w:val="21"/>
          <w:szCs w:val="21"/>
        </w:rPr>
        <w:t xml:space="preserve">Démarche pilote : un périmètre restreint permet de mesurer le ROI réel avant toute extension à l'organisation.</w:t>
      </w:r>
    </w:p>
    <w:p>
      <w:pPr>
        <w:pStyle w:val="Heading1"/>
      </w:pPr>
      <w:r>
        <w:t xml:space="preserve">7. Mise en œuvre</w:t>
      </w:r>
    </w:p>
    <w:p>
      <w:pPr>
        <w:spacing w:after="160" w:before="0"/>
      </w:pPr>
      <w:r>
        <w:rPr>
          <w:sz w:val="21"/>
          <w:szCs w:val="21"/>
        </w:rPr>
        <w:t xml:space="preserve">Délai de déploiement : 4 à 8 semaines, sans interruption de service pour l'équipe support existante. Le pilote démarre sur un périmètre limité (50 à 200 tickets par mois), avec mesure des indicateurs clés dès le troisième mois.</w:t>
      </w:r>
    </w:p>
    <w:p>
      <w:pPr>
        <w:pStyle w:val="Heading1"/>
      </w:pPr>
      <w:r>
        <w:t xml:space="preserve">8. Contact</w:t>
      </w:r>
    </w:p>
    <w:p>
      <w:pPr>
        <w:spacing w:after="160" w:before="0"/>
      </w:pPr>
      <w:r>
        <w:rPr>
          <w:sz w:val="21"/>
          <w:szCs w:val="21"/>
        </w:rPr>
        <w:t xml:space="preserve">Pour organiser une démonstration ou lancer un pilote :</w:t>
      </w:r>
    </w:p>
    <w:p>
      <w:pPr>
        <w:pStyle w:val="ListParagraph"/>
        <w:numPr>
          <w:ilvl w:val="0"/>
          <w:numId w:val="3"/>
        </w:numPr>
        <w:spacing w:after="100"/>
      </w:pPr>
      <w:r>
        <w:rPr>
          <w:sz w:val="21"/>
          <w:szCs w:val="21"/>
        </w:rPr>
        <w:t xml:space="preserve">Email : contact@transferai.ci</w:t>
      </w:r>
    </w:p>
    <w:p>
      <w:pPr>
        <w:pStyle w:val="ListParagraph"/>
        <w:numPr>
          <w:ilvl w:val="0"/>
          <w:numId w:val="3"/>
        </w:numPr>
        <w:spacing w:after="100"/>
      </w:pPr>
      <w:r>
        <w:rPr>
          <w:sz w:val="21"/>
          <w:szCs w:val="21"/>
        </w:rPr>
        <w:t xml:space="preserve">Site : www.transferai.ci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2"/>
        <w:sz w:val="15"/>
        <w:szCs w:val="15"/>
      </w:rPr>
      <w:t xml:space="preserve">contact@transferai.ci · www.transferai.ci</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026"/>
      </w:tabs>
    </w:pPr>
    <w:r>
      <w:rPr>
        <w:b/>
        <w:bCs/>
        <w:color w:val="10263F"/>
        <w:sz w:val="17"/>
        <w:szCs w:val="17"/>
      </w:rPr>
      <w:t xml:space="preserve">TransferAI Africa</w:t>
    </w:r>
    <w:r>
      <w:rPr>
        <w:color w:val="5A6472"/>
        <w:sz w:val="17"/>
        <w:szCs w:val="17"/>
      </w:rPr>
      <w:t xml:space="preserve">	Support IT Intelligent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0263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D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2026-07-08T17:34:26.461Z</dcterms:created>
  <dcterms:modified xsi:type="dcterms:W3CDTF">2026-07-08T17:34:26.466Z</dcterms:modified>
</cp:coreProperties>
</file>

<file path=docProps/custom.xml><?xml version="1.0" encoding="utf-8"?>
<Properties xmlns="http://schemas.openxmlformats.org/officeDocument/2006/custom-properties" xmlns:vt="http://schemas.openxmlformats.org/officeDocument/2006/docPropsVTypes"/>
</file>