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1B3F6E" w:val="clear"/>
            <w:tcMar>
              <w:top w:type="dxa" w:w="600"/>
              <w:left w:type="dxa" w:w="400"/>
              <w:bottom w:type="dxa" w:w="60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TransferAI Africa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E8A020"/>
                <w:sz w:val="24"/>
                <w:szCs w:val="24"/>
              </w:rPr>
              <w:t xml:space="preserve">Solutions d'Intelligence Artificielle pour l'Afrique</w:t>
            </w:r>
          </w:p>
        </w:tc>
      </w:tr>
    </w:tbl>
    <w:p>
      <w:pPr>
        <w:spacing w:after="100" w:before="400"/>
      </w:pPr>
      <w:r>
        <w:t xml:space="preserve"/>
      </w:r>
    </w:p>
    <w:p>
      <w:pPr>
        <w:spacing w:after="60" w:before="100"/>
        <w:jc w:val="center"/>
      </w:pPr>
      <w:r>
        <w:rPr>
          <w:rFonts w:ascii="Arial" w:cs="Arial" w:eastAsia="Arial" w:hAnsi="Arial"/>
          <w:b/>
          <w:bCs/>
          <w:color w:val="1B3F6E"/>
          <w:sz w:val="56"/>
          <w:szCs w:val="56"/>
        </w:rPr>
        <w:t xml:space="preserve">GUIDE COMPLET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color w:val="E8A020"/>
          <w:sz w:val="40"/>
          <w:szCs w:val="40"/>
        </w:rPr>
        <w:t xml:space="preserve">Recherche Documentaire Intelligente</w:t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0D7D6B"/>
          <w:sz w:val="28"/>
          <w:szCs w:val="28"/>
        </w:rPr>
        <w:t xml:space="preserve">Powered by RAG — Retrieval Augmented Generation</w:t>
      </w:r>
    </w:p>
    <w:p>
      <w:pPr>
        <w:pBdr>
          <w:bottom w:val="single" w:color="E8A020" w:sz="20" w:space="1"/>
        </w:pBdr>
        <w:spacing w:after="60" w:before="60"/>
      </w:pPr>
      <w:r>
        <w:t xml:space="preserve"/>
      </w:r>
    </w:p>
    <w:p>
      <w:pPr>
        <w:spacing w:after="100" w:before="20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00"/>
        <w:gridCol w:w="3100"/>
        <w:gridCol w:w="200"/>
        <w:gridCol w:w="3146"/>
      </w:tblGrid>
      <w:tr>
        <w:tc>
          <w:tcPr>
            <w:tcW w:type="dxa" w:w="3100"/>
            <w:tcBorders>
              <w:top w:val="none"/>
              <w:left w:val="none"/>
              <w:bottom w:val="none"/>
              <w:right w:val="none"/>
            </w:tcBorders>
            <w:shd w:fill="1B3F6E" w:val="clear"/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A020"/>
                <w:sz w:val="96"/>
                <w:szCs w:val="96"/>
              </w:rPr>
              <w:t xml:space="preserve">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Retrieval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BBCCDD"/>
                <w:sz w:val="19"/>
                <w:szCs w:val="19"/>
              </w:rPr>
              <w:t xml:space="preserve">Recherche dans vos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CCDD"/>
                <w:sz w:val="19"/>
                <w:szCs w:val="19"/>
              </w:rPr>
              <w:t xml:space="preserve">propres documents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40"/>
                <w:szCs w:val="40"/>
              </w:rPr>
              <w:t xml:space="preserve">+</w:t>
            </w:r>
          </w:p>
        </w:tc>
        <w:tc>
          <w:tcPr>
            <w:tcW w:type="dxa" w:w="3100"/>
            <w:tcBorders>
              <w:top w:val="none"/>
              <w:left w:val="none"/>
              <w:bottom w:val="none"/>
              <w:right w:val="none"/>
            </w:tcBorders>
            <w:shd w:fill="0D7D6B" w:val="clear"/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A020"/>
                <w:sz w:val="96"/>
                <w:szCs w:val="96"/>
              </w:rPr>
              <w:t xml:space="preserve">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Augmented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BBDDCC"/>
                <w:sz w:val="19"/>
                <w:szCs w:val="19"/>
              </w:rPr>
              <w:t xml:space="preserve">Enrichie avec les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BBDDCC"/>
                <w:sz w:val="19"/>
                <w:szCs w:val="19"/>
              </w:rPr>
              <w:t xml:space="preserve">extraits pertinents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55555"/>
                <w:sz w:val="40"/>
                <w:szCs w:val="40"/>
              </w:rPr>
              <w:t xml:space="preserve">+</w:t>
            </w:r>
          </w:p>
        </w:tc>
        <w:tc>
          <w:tcPr>
            <w:tcW w:type="dxa" w:w="3146"/>
            <w:tcBorders>
              <w:top w:val="none"/>
              <w:left w:val="none"/>
              <w:bottom w:val="none"/>
              <w:right w:val="none"/>
            </w:tcBorders>
            <w:shd w:fill="E8A020" w:val="clear"/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96"/>
                <w:szCs w:val="96"/>
              </w:rPr>
              <w:t xml:space="preserve">G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8"/>
                <w:szCs w:val="28"/>
              </w:rPr>
              <w:t xml:space="preserve">Generation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1B3F6E"/>
                <w:sz w:val="19"/>
                <w:szCs w:val="19"/>
              </w:rPr>
              <w:t xml:space="preserve">Rédige une réponse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1B3F6E"/>
                <w:sz w:val="19"/>
                <w:szCs w:val="19"/>
              </w:rPr>
              <w:t xml:space="preserve">claire et sourcée</w:t>
            </w:r>
          </w:p>
        </w:tc>
      </w:tr>
    </w:tbl>
    <w:p>
      <w:pPr>
        <w:spacing w:after="100" w:before="300"/>
      </w:pPr>
      <w:r>
        <w:t xml:space="preserve"/>
      </w:r>
    </w:p>
    <w:p>
      <w:pPr>
        <w:pBdr>
          <w:bottom w:val="single" w:color="E8A020" w:sz="12" w:space="1"/>
        </w:pBdr>
        <w:spacing w:after="60" w:before="60"/>
      </w:pPr>
      <w:r>
        <w:t xml:space="preserve"/>
      </w:r>
    </w:p>
    <w:p>
      <w:pPr>
        <w:spacing w:after="60" w:before="100"/>
      </w:pPr>
      <w:r>
        <w:t xml:space="preserve"/>
      </w:r>
    </w:p>
    <w:p>
      <w:pPr>
        <w:spacing w:after="40" w:before="6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Formation IA Pratique aux Metiers — Juillet 2026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Document confidentiel — Usage interne TransferAI Africa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0D7D6B"/>
          <w:sz w:val="20"/>
          <w:szCs w:val="20"/>
        </w:rPr>
        <w:t xml:space="preserve">contact@transferai.africa  |  www.transferai.africa</w:t>
      </w:r>
    </w:p>
    <w:p>
      <w:pPr>
        <w:spacing w:after="40" w:before="120"/>
        <w:jc w:val="center"/>
      </w:pPr>
      <w:r>
        <w:rPr>
          <w:rFonts w:ascii="Arial" w:cs="Arial" w:eastAsia="Arial" w:hAnsi="Arial"/>
          <w:i/>
          <w:iCs/>
          <w:color w:val="E8A020"/>
          <w:sz w:val="18"/>
          <w:szCs w:val="18"/>
        </w:rPr>
        <w:t xml:space="preserve">Mise à jour du contenu : 08 juillet 2026 — nouvelle interface web (partie 3.1), 5 nouveaux problèmes documentés et 2 fiches corrigées en partie 4, liens mis à jour en partie 5.2.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720" w:right="1080" w:bottom="720" w:left="1080" w:header="708" w:footer="708" w:gutter="0"/>
          <w:pgNumType/>
          <w:docGrid w:linePitch="360"/>
        </w:sectPr>
      </w:pPr>
    </w:p>
    <w:p>
      <w:pPr>
        <w:pStyle w:val="Heading1"/>
        <w:spacing w:after="120" w:before="320"/>
      </w:pPr>
      <w:bookmarkStart w:name="part1" w:id="1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1 — Comprendre la Technologie RAG</w:t>
      </w:r>
      <w:bookmarkEnd w:id="1"/>
    </w:p>
    <w:p>
      <w:pPr>
        <w:pBdr>
          <w:bottom w:val="single" w:color="E8A020" w:sz="10" w:space="1"/>
        </w:pBdr>
        <w:spacing w:after="60" w:before="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1.1  Qu'est-ce que le RAG ?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RAG — Retrieval Augmented Generation — est une architecture d'intelligence artificielle qui révolutionne la façon dont les organisations exploitent leur propre documentation. Contrairement à un chatbot généraliste qui répond uniquement depuis sa mémoire de formation, le RAG donne à l'IA accès à VOS documents, en temps réel.</w:t>
      </w:r>
    </w:p>
    <w:p>
      <w:pPr>
        <w:spacing w:after="8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thick" w:color="1B3F6E" w:sz="12"/>
              <w:left w:val="thick" w:color="1B3F6E" w:sz="24"/>
              <w:bottom w:val="single" w:color="1B3F6E" w:sz="4"/>
              <w:right w:val="single" w:color="1B3F6E" w:sz="4"/>
            </w:tcBorders>
            <w:shd w:fill="D6E4F0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1"/>
                <w:szCs w:val="21"/>
              </w:rPr>
              <w:t xml:space="preserve">Définition simple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1"/>
                <w:szCs w:val="21"/>
              </w:rPr>
              <w:t xml:space="preserve">Le RAG, c'est comme avoir un expert qui connait parfaitement toute votre documentation et qui peut répondre instantanément à n'importe quelle question en citant ses sources.</w:t>
            </w:r>
          </w:p>
        </w:tc>
      </w:tr>
    </w:tbl>
    <w:p>
      <w:pPr>
        <w:spacing w:after="60" w:before="12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3046"/>
        <w:gridCol w:w="3000"/>
      </w:tblGrid>
      <w:tr>
        <w:trPr>
          <w:tblHeader/>
        </w:trPr>
        <w:tc>
          <w:tcPr>
            <w:tcW w:type="dxa" w:w="1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Lettre</w:t>
            </w:r>
          </w:p>
        </w:tc>
        <w:tc>
          <w:tcPr>
            <w:tcW w:type="dxa" w:w="22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Mot</w:t>
            </w:r>
          </w:p>
        </w:tc>
        <w:tc>
          <w:tcPr>
            <w:tcW w:type="dxa" w:w="30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 que fait l'IA</w:t>
            </w:r>
          </w:p>
        </w:tc>
        <w:tc>
          <w:tcPr>
            <w:tcW w:type="dxa" w:w="3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Valeur pour vous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B3F6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R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2"/>
                <w:szCs w:val="22"/>
              </w:rPr>
              <w:t xml:space="preserve">Retrieval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555555"/>
                <w:sz w:val="20"/>
                <w:szCs w:val="20"/>
              </w:rPr>
              <w:t xml:space="preserve">Recherche</w:t>
            </w:r>
          </w:p>
        </w:tc>
        <w:tc>
          <w:tcPr>
            <w:tcW w:type="dxa" w:w="30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Cherche et récupère les passages les plus pertinents de votre base documentaire en moins d'une seconde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Réponses basées sur VOS données, pas sur des informations génériques d'internet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7D6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0D7D6B"/>
                <w:sz w:val="22"/>
                <w:szCs w:val="22"/>
              </w:rPr>
              <w:t xml:space="preserve">Augmented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555555"/>
                <w:sz w:val="20"/>
                <w:szCs w:val="20"/>
              </w:rPr>
              <w:t xml:space="preserve">Augmentée</w:t>
            </w:r>
          </w:p>
        </w:tc>
        <w:tc>
          <w:tcPr>
            <w:tcW w:type="dxa" w:w="30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Enrichit son contexte avec les extraits retrouvés avant de formuler sa réponse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Réponses précises, complètes, contextualisées à votre réalité terrain</w:t>
            </w:r>
          </w:p>
        </w:tc>
      </w:tr>
      <w:tr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A02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G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E8A020"/>
                <w:sz w:val="22"/>
                <w:szCs w:val="22"/>
              </w:rPr>
              <w:t xml:space="preserve">Generation</w:t>
            </w:r>
          </w:p>
          <w:p>
            <w:pPr>
              <w:spacing w:after="40" w:before="0"/>
            </w:pPr>
            <w:r>
              <w:rPr>
                <w:rFonts w:ascii="Arial" w:cs="Arial" w:eastAsia="Arial" w:hAnsi="Arial"/>
                <w:i/>
                <w:iCs/>
                <w:color w:val="555555"/>
                <w:sz w:val="20"/>
                <w:szCs w:val="20"/>
              </w:rPr>
              <w:t xml:space="preserve">Génération</w:t>
            </w:r>
          </w:p>
        </w:tc>
        <w:tc>
          <w:tcPr>
            <w:tcW w:type="dxa" w:w="30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Rédige une réponse claire, structurée en langue naturelle, avec les sources citées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Un expert disponible 24h/24 qui ne se trompe pas et montre ses sources</w:t>
            </w:r>
          </w:p>
        </w:tc>
      </w:tr>
    </w:tbl>
    <w:p>
      <w:pPr>
        <w:spacing w:after="60" w:before="1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1.2  Comment fonctionne le RAG — Sous le capot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Quand vous posez une question au système RAG de TransferAI, voici exactement ce qui se passe en quelques secondes :</w:t>
      </w:r>
    </w:p>
    <w:p>
      <w:pPr>
        <w:spacing w:after="100" w:before="10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846"/>
      </w:tblGrid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1B3F6E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1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Votre question est reçue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Le webhook n8n capture votre question envoyée via Chatwoot ou l'interface web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0D7D6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2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Vectorisation de la question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OpenAI transforme votre question en vecteur mathématique de 1536 dimensions (text-embedding-3-small)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E8A02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3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Recherche vectorielle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Supabase pgvector compare ce vecteur aux 5 000+ chunks indexés et retourne les 5 passages les plus similaires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1B3F6E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4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Anonymisation des données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Les données sensibles (noms, emails, téléphones) sont remplacées par des tokens avant d'aller vers GPT-4o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0D7D6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5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Génération de la réponse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GPT-4o rédige une réponse structurée, basée uniquement sur les extraits fournis, avec les sources citées</w:t>
            </w:r>
          </w:p>
        </w:tc>
      </w:tr>
      <w:tr>
        <w:tc>
          <w:tcPr>
            <w:tcW w:type="dxa" w:w="9746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pPr>
              <w:spacing w:after="8" w:before="8"/>
            </w:pPr>
            <w:r>
              <w:t xml:space="preserve"/>
            </w:r>
          </w:p>
        </w:tc>
      </w:tr>
      <w:tr>
        <w:tc>
          <w:tcPr>
            <w:tcW w:type="dxa" w:w="900"/>
            <w:tcBorders>
              <w:top w:val="none" w:sz="0"/>
              <w:left w:val="none" w:sz="0"/>
              <w:bottom w:val="none" w:sz="0"/>
              <w:right w:val="none" w:sz="0"/>
            </w:tcBorders>
            <w:shd w:fill="E8A020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</w:t>
            </w:r>
          </w:p>
        </w:tc>
        <w:tc>
          <w:tcPr>
            <w:tcW w:type="dxa" w:w="8126"/>
            <w:tcBorders>
              <w:top w:val="none" w:sz="0"/>
              <w:left w:val="none" w:sz="0"/>
              <w:bottom w:val="none" w:sz="0"/>
              <w:right w:val="none" w:sz="0"/>
            </w:tcBorders>
            <w:shd w:fill="D6E4F0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3"/>
                <w:szCs w:val="23"/>
              </w:rPr>
              <w:t xml:space="preserve">Désanonymisation &amp; livraison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Les tokens sont remplacés par les vraies données et la réponse est retournée en quelques secondes</w:t>
            </w:r>
          </w:p>
        </w:tc>
      </w:tr>
    </w:tbl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120" w:before="320"/>
      </w:pPr>
      <w:bookmarkStart w:name="part2" w:id="2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2 — L'Histoire TransferAI &amp; Sa Base de Connaissance</w:t>
      </w:r>
      <w:bookmarkEnd w:id="2"/>
    </w:p>
    <w:p>
      <w:pPr>
        <w:pBdr>
          <w:bottom w:val="single" w:color="0D7D6B" w:sz="10" w:space="1"/>
        </w:pBdr>
        <w:spacing w:after="60" w:before="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2.1  Le Défi de TransferAI Africa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TransferAI Africa accompagne des entreprises africaines dans leur transition vers l'intelligence artificielle. En 2026, l'équipe fait face à un défi commun à toutes les organisations en croissance rapide 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1"/>
                <w:szCs w:val="21"/>
              </w:rPr>
              <w:t xml:space="preserve">Le problème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1"/>
                <w:szCs w:val="21"/>
              </w:rPr>
              <w:t xml:space="preserve">Des centaines de documents internes — procédures, guides, réglementations, decks sectoriels — dispersés sur des drives, impossible à retrouver rapidement. Quand un consultant devait répondre à un client sur la réglementation UEMOA ou les étapes d'un audit IA, il perdait 30 minutes à chercher le bon document.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1"/>
                <w:szCs w:val="21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1"/>
                <w:szCs w:val="21"/>
              </w:rPr>
              <w:t xml:space="preserve">Les consultants perdaient en moyenne 2h par jour à chercher des informations dans leurs propres documents.</w:t>
            </w:r>
          </w:p>
        </w:tc>
      </w:tr>
    </w:tbl>
    <w:p>
      <w:pPr>
        <w:spacing w:after="60" w:before="12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2.2  La Solution : Une Base de Connaissance RAG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L'équipe TransferAI a décidé de construire son propre système RAG en utilisant les outils qu'elle maîtrise : n8n pour l'orchestration, Supabase pour le stockage vectoriel, et GPT-4o pour la génération.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7D6B"/>
          <w:sz w:val="23"/>
          <w:szCs w:val="23"/>
        </w:rPr>
        <w:t xml:space="preserve">La Base Documentaire — 856 fichiers organisés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Voici la structure de la base de connaissance TransferAI, construite lors de ce projet :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2246"/>
        <w:gridCol w:w="2000"/>
        <w:gridCol w:w="2000"/>
      </w:tblGrid>
      <w:tr>
        <w:trPr>
          <w:tblHeader/>
        </w:trPr>
        <w:tc>
          <w:tcPr>
            <w:tcW w:type="dxa" w:w="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Catégorie</w:t>
            </w:r>
          </w:p>
        </w:tc>
        <w:tc>
          <w:tcPr>
            <w:tcW w:type="dxa" w:w="22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Contenu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Fichiers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Utilité RAG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01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Procedures Internes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Business plans, roadmaps, admin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Plans stratégiques, guides admin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60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internes, processus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02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0D7D6B"/>
                <w:sz w:val="20"/>
                <w:szCs w:val="20"/>
              </w:rPr>
              <w:t xml:space="preserve">Reglementation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RGPD, veille UEMOA/BCEAO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Cadre légal, conformité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6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Conformité, audits réglementaires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03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Guides &amp; Formations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Catalogues, kits, mini-guides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Formation IA, méthodologies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162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formation, pédagogie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04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0"/>
                <w:szCs w:val="20"/>
              </w:rPr>
              <w:t xml:space="preserve">Workflows Automatisation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Guides n8n, Supabase, Chatwoot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Documentation technique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76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Support technique, débogage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05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0D7D6B"/>
                <w:sz w:val="20"/>
                <w:szCs w:val="20"/>
              </w:rPr>
              <w:t xml:space="preserve">Prospection &amp; CRM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Pipelines, OpenClaw, CRM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Outils commerciaux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82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commerciales, clients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06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Decks Sectoriels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21 secteurs : Banque, Telecom, Santé...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Pitch decks, analyses secteur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97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secteur, use cases IA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07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0"/>
                <w:szCs w:val="20"/>
              </w:rPr>
              <w:t xml:space="preserve">Knowledge Base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FAQ, KB complète, chatbot</w:t>
            </w:r>
          </w:p>
        </w:tc>
        <w:tc>
          <w:tcPr>
            <w:tcW w:type="dxa" w:w="2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Base de connaissance générale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14 fichiers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générales TransferAI</w:t>
            </w:r>
          </w:p>
        </w:tc>
      </w:tr>
    </w:tbl>
    <w:p>
      <w:pPr>
        <w:spacing w:after="80" w:before="14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2.3  La Transformation : Avant / Après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60"/>
        <w:gridCol w:w="4786"/>
      </w:tblGrid>
      <w:tr>
        <w:tc>
          <w:tcPr>
            <w:tcW w:type="dxa" w:w="4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C0392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AVANT le RAG</w:t>
            </w:r>
          </w:p>
        </w:tc>
        <w:tc>
          <w:tcPr>
            <w:tcW w:type="dxa" w:w="16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478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7D6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APRES le RAG</w:t>
            </w:r>
          </w:p>
        </w:tc>
      </w:tr>
      <w:tr>
        <w:tc>
          <w:tcPr>
            <w:tcW w:type="dxa" w:w="4800"/>
            <w:tcBorders>
              <w:top w:val="single" w:color="DDDDDD" w:sz="1"/>
              <w:left w:val="thick" w:color="C0392B" w:sz="12"/>
              <w:bottom w:val="single" w:color="DDDDDD" w:sz="1"/>
              <w:right w:val="none"/>
            </w:tcBorders>
            <w:shd w:fill="FEE8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Chercher dans des emails et drives disparates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30 min perdues en moyenne par recherche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Informations souvent obsolètes ou incomplètes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Impossible de savoir d'où vient l'information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60"/>
            </w:pPr>
            <w:r>
              <w:rPr>
                <w:rFonts w:ascii="Arial" w:cs="Arial" w:eastAsia="Arial" w:hAnsi="Arial"/>
                <w:color w:val="880000"/>
                <w:sz w:val="20"/>
                <w:szCs w:val="20"/>
              </w:rPr>
              <w:t xml:space="preserve">Charge mentale élevée pour les consultants</w:t>
            </w:r>
          </w:p>
        </w:tc>
        <w:tc>
          <w:tcPr>
            <w:tcW w:type="dxa" w:w="16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4786"/>
            <w:tcBorders>
              <w:top w:val="single" w:color="DDDDDD" w:sz="1"/>
              <w:left w:val="thick" w:color="0D7D6B" w:sz="12"/>
              <w:bottom w:val="single" w:color="DDDDDD" w:sz="1"/>
              <w:right w:val="none"/>
            </w:tcBorders>
            <w:shd w:fill="D5F0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Une question en langage naturel, une réponse en 3 sec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2h/jour récupérées par consultant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Base synchronisée toutes les 6 heures automatiquement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Sources citées avec liens vers les documents originaux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60" w:before="60"/>
            </w:pPr>
            <w:r>
              <w:rPr>
                <w:rFonts w:ascii="Arial" w:cs="Arial" w:eastAsia="Arial" w:hAnsi="Arial"/>
                <w:color w:val="005544"/>
                <w:sz w:val="20"/>
                <w:szCs w:val="20"/>
              </w:rPr>
              <w:t xml:space="preserve">Consultants focusés sur la valeur, pas la recherche</w:t>
            </w:r>
          </w:p>
        </w:tc>
      </w:tr>
    </w:tbl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120" w:before="320"/>
      </w:pPr>
      <w:bookmarkStart w:name="part3" w:id="3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3 — Guide Utilisateur : Comment Poser les Bonnes Questions</w:t>
      </w:r>
      <w:bookmarkEnd w:id="3"/>
    </w:p>
    <w:p>
      <w:pPr>
        <w:pBdr>
          <w:bottom w:val="single" w:color="1B3F6E" w:sz="10" w:space="1"/>
        </w:pBdr>
        <w:spacing w:after="60" w:before="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3.1  Accéder au Système RAG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système RAG TransferAI est accessible via trois canaux (mis à jour le 08 juillet 2026 : ajout de l’interface web) :</w:t>
      </w:r>
    </w:p>
    <w:p>
      <w:pPr>
        <w:spacing w:after="6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946"/>
      </w:tblGrid>
      <w:tr>
        <w:trPr>
          <w:tblHeader/>
        </w:trPr>
        <w:tc>
          <w:tcPr>
            <w:tcW w:type="dxa" w:w="4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Canal d'accès</w:t>
            </w:r>
          </w:p>
        </w:tc>
        <w:tc>
          <w:tcPr>
            <w:tcW w:type="dxa" w:w="49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Comment l'utiliser</w:t>
            </w:r>
          </w:p>
        </w:tc>
      </w:tr>
      <w:tr>
        <w:tc>
          <w:tcPr>
            <w:tcW w:type="dxa" w:w="4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2"/>
                <w:szCs w:val="22"/>
              </w:rPr>
              <w:t xml:space="preserve">Chatwoot (Interface principale)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app.chatwoot.com — Compte 163278</w:t>
            </w:r>
          </w:p>
        </w:tc>
        <w:tc>
          <w:tcPr>
            <w:tcW w:type="dxa" w:w="49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Ouvrez une conversation, tapez votre question en français ou anglais, envoyez. La réponse arrive en 3-8 secondes avec les sources.</w:t>
            </w:r>
          </w:p>
        </w:tc>
      </w:tr>
      <w:tr>
        <w:tc>
          <w:tcPr>
            <w:tcW w:type="dxa" w:w="4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3F2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0D7D6B"/>
                <w:sz w:val="22"/>
                <w:szCs w:val="22"/>
              </w:rPr>
              <w:t xml:space="preserve">Interface Web (nouveau — 08/07/2026)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0D7D6B"/>
                <w:sz w:val="18"/>
                <w:szCs w:val="18"/>
              </w:rPr>
              <w:t xml:space="preserve">www.transferai.ci/demo/recherche-documentaire</w:t>
            </w:r>
          </w:p>
        </w:tc>
        <w:tc>
          <w:tcPr>
            <w:tcW w:type="dxa" w:w="49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Ouvrez la page dans un navigateur, tapez votre question, cliquez sur “Lancer la recherche”. Aucune compétence technique requise — le point d’entrée le plus simple pour un collègue qui ne connaît ni Chatwoot ni les API.</w:t>
            </w:r>
          </w:p>
        </w:tc>
      </w:tr>
      <w:tr>
        <w:tc>
          <w:tcPr>
            <w:tcW w:type="dxa" w:w="4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D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before="40"/>
            </w:pPr>
            <w:r>
              <w:rPr>
                <w:rFonts w:ascii="Arial" w:cs="Arial" w:eastAsia="Arial" w:hAnsi="Arial"/>
                <w:b/>
                <w:bCs/>
                <w:color w:val="E8A020"/>
                <w:sz w:val="22"/>
                <w:szCs w:val="22"/>
              </w:rPr>
              <w:t xml:space="preserve">API Webhook (Intégration)</w:t>
            </w:r>
          </w:p>
          <w:p>
            <w:pPr>
              <w:spacing w:after="20" w:before="2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POST /webhook/recherche-documentaire (externe) ou /webhook/recherche-documentaire-interne (interne)</w:t>
            </w:r>
          </w:p>
        </w:tc>
        <w:tc>
          <w:tcPr>
            <w:tcW w:type="dxa" w:w="49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Pour les développeurs : envoyez une requête JSON avec question, utilisateur et session_id. Le endpoint “externe” (workflow Recherche_Documentaire_RAG_v4_complet) anonymise les données et escalade vers Chatwoot si aucune réponse fiable n’est trouvée ; le endpoint “interne” (workflow Recherche_Documentaire_RAG) est plus simple, réservé à l’équipe.</w:t>
            </w:r>
          </w:p>
        </w:tc>
      </w:tr>
    </w:tbl>
    <w:p>
      <w:pPr>
        <w:spacing w:after="80" w:before="1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3.2  Exemples de Questions — Cas d'Usage Réels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Voici des exemples concrets basés sur la base documentaire TransferAI. Ces questions ont été testées et retournent des réponses précises avec sources :</w:t>
      </w:r>
    </w:p>
    <w:p>
      <w:pPr>
        <w:spacing w:after="80" w:before="8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7D6B"/>
          <w:sz w:val="23"/>
          <w:szCs w:val="23"/>
        </w:rPr>
        <w:t xml:space="preserve">Procédures &amp; Administration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4466"/>
        <w:gridCol w:w="5000"/>
      </w:tblGrid>
      <w:tr>
        <w:trPr>
          <w:tblHeader/>
        </w:trPr>
        <w:tc>
          <w:tcPr>
            <w:tcW w:type="dxa" w:w="28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46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 posée au RAG</w:t>
            </w:r>
          </w:p>
        </w:tc>
        <w:tc>
          <w:tcPr>
            <w:tcW w:type="dxa" w:w="5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 de réponse attendue</w:t>
            </w:r>
          </w:p>
        </w:tc>
      </w:tr>
      <w:tr>
        <w:tc>
          <w:tcPr>
            <w:tcW w:type="dxa" w:w="28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1B3F6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</w:t>
            </w:r>
          </w:p>
        </w:tc>
        <w:tc>
          <w:tcPr>
            <w:tcW w:type="dxa" w:w="4466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Quelles sont les étapes du processus d'audit IA pour un client Banque ?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Liste structurée des 7 étapes d'audit, avec les responsables et les livrables de chaque phase</w:t>
            </w:r>
          </w:p>
        </w:tc>
      </w:tr>
      <w:tr>
        <w:tc>
          <w:tcPr>
            <w:tcW w:type="dxa" w:w="28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0D7D6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</w:t>
            </w:r>
          </w:p>
        </w:tc>
        <w:tc>
          <w:tcPr>
            <w:tcW w:type="dxa" w:w="4466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5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Quel est le business plan de TransferAI pour le Q3 2026 ?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Résumé des objectifs commerciaux, cibles de revenus, marchés prioritaires avec source citée</w:t>
            </w:r>
          </w:p>
        </w:tc>
      </w:tr>
      <w:tr>
        <w:tc>
          <w:tcPr>
            <w:tcW w:type="dxa" w:w="28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1B3F6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</w:t>
            </w:r>
          </w:p>
        </w:tc>
        <w:tc>
          <w:tcPr>
            <w:tcW w:type="dxa" w:w="4466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1B3F6E"/>
                <w:sz w:val="20"/>
                <w:szCs w:val="20"/>
              </w:rPr>
              <w:t xml:space="preserve">Qui contacter pour les questions de facturation partenaires ?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Nom, email et procédure de contact issus du guide administrateur système</w:t>
            </w:r>
          </w:p>
        </w:tc>
      </w:tr>
    </w:tbl>
    <w:p>
      <w:pPr>
        <w:spacing w:after="80" w:before="14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7D6B"/>
          <w:sz w:val="23"/>
          <w:szCs w:val="23"/>
        </w:rPr>
        <w:t xml:space="preserve">Réglementation &amp; Conformité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4466"/>
        <w:gridCol w:w="5000"/>
      </w:tblGrid>
      <w:tr>
        <w:trPr>
          <w:tblHeader/>
        </w:trPr>
        <w:tc>
          <w:tcPr>
            <w:tcW w:type="dxa" w:w="28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7D6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46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7D6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 posée au RAG</w:t>
            </w:r>
          </w:p>
        </w:tc>
        <w:tc>
          <w:tcPr>
            <w:tcW w:type="dxa" w:w="5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7D6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 de réponse attendue</w:t>
            </w:r>
          </w:p>
        </w:tc>
      </w:tr>
      <w:tr>
        <w:tc>
          <w:tcPr>
            <w:tcW w:type="dxa" w:w="28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0D7D6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</w:t>
            </w:r>
          </w:p>
        </w:tc>
        <w:tc>
          <w:tcPr>
            <w:tcW w:type="dxa" w:w="4466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5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0D7D6B"/>
                <w:sz w:val="20"/>
                <w:szCs w:val="20"/>
              </w:rPr>
              <w:t xml:space="preserve">Quelles sont les obligations RGPD pour une fintech en Côte d'Ivoire ?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Liste des 8 obligations clés avec références légales et recommandations de mise en conformité</w:t>
            </w:r>
          </w:p>
        </w:tc>
      </w:tr>
      <w:tr>
        <w:tc>
          <w:tcPr>
            <w:tcW w:type="dxa" w:w="28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1B3F6E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</w:t>
            </w:r>
          </w:p>
        </w:tc>
        <w:tc>
          <w:tcPr>
            <w:tcW w:type="dxa" w:w="4466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0D7D6B"/>
                <w:sz w:val="20"/>
                <w:szCs w:val="20"/>
              </w:rPr>
              <w:t xml:space="preserve">Quelles sont les dernières alertes réglementaires BCEAO sur les crypto-actifs ?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Résumé des décisions BCEAO 2026, textes de référence, impacts sur les fintechs UEMOA</w:t>
            </w:r>
          </w:p>
        </w:tc>
      </w:tr>
    </w:tbl>
    <w:p>
      <w:pPr>
        <w:spacing w:after="80" w:before="140"/>
      </w:pPr>
      <w:r>
        <w:t xml:space="preserve"/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7D6B"/>
          <w:sz w:val="23"/>
          <w:szCs w:val="23"/>
        </w:rPr>
        <w:t xml:space="preserve">Decks Sectoriels &amp; Approche Commerciale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"/>
        <w:gridCol w:w="4466"/>
        <w:gridCol w:w="5000"/>
      </w:tblGrid>
      <w:tr>
        <w:trPr>
          <w:tblHeader/>
        </w:trPr>
        <w:tc>
          <w:tcPr>
            <w:tcW w:type="dxa" w:w="28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8A0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446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8A0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 posée au RAG</w:t>
            </w:r>
          </w:p>
        </w:tc>
        <w:tc>
          <w:tcPr>
            <w:tcW w:type="dxa" w:w="5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8A020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 de réponse attendue</w:t>
            </w:r>
          </w:p>
        </w:tc>
      </w:tr>
      <w:tr>
        <w:tc>
          <w:tcPr>
            <w:tcW w:type="dxa" w:w="28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E8A02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</w:t>
            </w:r>
          </w:p>
        </w:tc>
        <w:tc>
          <w:tcPr>
            <w:tcW w:type="dxa" w:w="4466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FEF3D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774400"/>
                <w:sz w:val="20"/>
                <w:szCs w:val="20"/>
              </w:rPr>
              <w:t xml:space="preserve">Quels sont les cas d'usage IA dans le secteur Banque en Afrique de l'Ouest ?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Synthèse des 5 principaux use cases avec ROI estimé, exemples de banques pionnières</w:t>
            </w:r>
          </w:p>
        </w:tc>
      </w:tr>
      <w:tr>
        <w:tc>
          <w:tcPr>
            <w:tcW w:type="dxa" w:w="28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E8A02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</w:t>
            </w:r>
          </w:p>
        </w:tc>
        <w:tc>
          <w:tcPr>
            <w:tcW w:type="dxa" w:w="4466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774400"/>
                <w:sz w:val="20"/>
                <w:szCs w:val="20"/>
              </w:rPr>
              <w:t xml:space="preserve">Comment présenter TransferAI à un directeur d'hôpital au Sénégal ?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Argumentaire adapté santé : détection prédictive, automatisation admin, avec chiffres clés</w:t>
            </w:r>
          </w:p>
        </w:tc>
      </w:tr>
      <w:tr>
        <w:tc>
          <w:tcPr>
            <w:tcW w:type="dxa" w:w="280"/>
            <w:tcBorders>
              <w:top w:val="single" w:color="FFFFFF" w:sz="1"/>
              <w:left w:val="none"/>
              <w:bottom w:val="single" w:color="FFFFFF" w:sz="1"/>
              <w:right w:val="none"/>
            </w:tcBorders>
            <w:shd w:fill="E8A020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</w:t>
            </w:r>
          </w:p>
        </w:tc>
        <w:tc>
          <w:tcPr>
            <w:tcW w:type="dxa" w:w="4466"/>
            <w:tcBorders>
              <w:top w:val="single" w:color="DDDDDD" w:sz="1"/>
              <w:left w:val="none"/>
              <w:bottom w:val="single" w:color="DDDDDD" w:sz="1"/>
              <w:right w:val="single" w:color="DDDDDD" w:sz="1"/>
            </w:tcBorders>
            <w:shd w:fill="FEF3D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774400"/>
                <w:sz w:val="20"/>
                <w:szCs w:val="20"/>
              </w:rPr>
              <w:t xml:space="preserve">Quelle est notre proposition de valeur pour Orange Côte d'Ivoire ?</w:t>
            </w:r>
          </w:p>
        </w:tc>
        <w:tc>
          <w:tcPr>
            <w:tcW w:type="dxa" w:w="5000"/>
            <w:tcBorders>
              <w:top w:val="single" w:color="DDDDDD" w:sz="1"/>
              <w:left w:val="single" w:color="DDDDDD" w:sz="1"/>
              <w:bottom w:val="single" w:color="DDDDDD" w:sz="1"/>
              <w:right w:val="none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Résumé du deck Orange CI : solutions proposées, modèle tarifaire, prochaines étapes</w:t>
            </w:r>
          </w:p>
        </w:tc>
      </w:tr>
    </w:tbl>
    <w:p>
      <w:pPr>
        <w:spacing w:after="80" w:before="1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3.3  Bonnes Pratiques — Formuler une Bonne Question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4"/>
        <w:gridCol w:w="5042"/>
      </w:tblGrid>
      <w:tr>
        <w:trPr>
          <w:tblHeader/>
        </w:trPr>
        <w:tc>
          <w:tcPr>
            <w:tcW w:type="dxa" w:w="47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C0392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Questions peu efficaces</w:t>
            </w:r>
          </w:p>
        </w:tc>
        <w:tc>
          <w:tcPr>
            <w:tcW w:type="dxa" w:w="4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042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7D6B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Questions très efficaces</w:t>
            </w:r>
          </w:p>
        </w:tc>
      </w:tr>
      <w:tr>
        <w:tc>
          <w:tcPr>
            <w:tcW w:type="dxa" w:w="4700"/>
            <w:tcBorders>
              <w:top w:val="single" w:color="FFCCCC" w:sz="1"/>
              <w:left w:val="single" w:color="FFCCCC" w:sz="1"/>
              <w:bottom w:val="single" w:color="FFCCCC" w:sz="1"/>
              <w:right w:val="none"/>
            </w:tcBorders>
            <w:shd w:fill="FE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✗  Parle-moi de la banque</w:t>
            </w:r>
          </w:p>
        </w:tc>
        <w:tc>
          <w:tcPr>
            <w:tcW w:type="dxa" w:w="4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5042"/>
            <w:tcBorders>
              <w:top w:val="single" w:color="AADDCC" w:sz="1"/>
              <w:left w:val="none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✓  Quels sont les 3 principaux cas d'usage IA dans les banques africaines selon nos decks ?</w:t>
            </w:r>
          </w:p>
        </w:tc>
      </w:tr>
      <w:tr>
        <w:tc>
          <w:tcPr>
            <w:tcW w:type="dxa" w:w="4700"/>
            <w:tcBorders>
              <w:top w:val="single" w:color="FFCCCC" w:sz="1"/>
              <w:left w:val="single" w:color="FFCCCC" w:sz="1"/>
              <w:bottom w:val="single" w:color="FFCCCC" w:sz="1"/>
              <w:right w:val="none"/>
            </w:tcBorders>
            <w:shd w:fill="FE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✗  Réglementation</w:t>
            </w:r>
          </w:p>
        </w:tc>
        <w:tc>
          <w:tcPr>
            <w:tcW w:type="dxa" w:w="4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5042"/>
            <w:tcBorders>
              <w:top w:val="single" w:color="AADDCC" w:sz="1"/>
              <w:left w:val="none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✓  Quelles sont les obligations légales pour une fintech en Côte d'Ivoire en 2026 ?</w:t>
            </w:r>
          </w:p>
        </w:tc>
      </w:tr>
      <w:tr>
        <w:tc>
          <w:tcPr>
            <w:tcW w:type="dxa" w:w="4700"/>
            <w:tcBorders>
              <w:top w:val="single" w:color="FFCCCC" w:sz="1"/>
              <w:left w:val="single" w:color="FFCCCC" w:sz="1"/>
              <w:bottom w:val="single" w:color="FFCCCC" w:sz="1"/>
              <w:right w:val="none"/>
            </w:tcBorders>
            <w:shd w:fill="FE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✗  Comment on fait l'audit ?</w:t>
            </w:r>
          </w:p>
        </w:tc>
        <w:tc>
          <w:tcPr>
            <w:tcW w:type="dxa" w:w="4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5042"/>
            <w:tcBorders>
              <w:top w:val="single" w:color="AADDCC" w:sz="1"/>
              <w:left w:val="none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✓  Quelles sont les étapes de l'audit IA de TransferAI pour un client industrie manufacturière ?</w:t>
            </w:r>
          </w:p>
        </w:tc>
      </w:tr>
      <w:tr>
        <w:tc>
          <w:tcPr>
            <w:tcW w:type="dxa" w:w="4700"/>
            <w:tcBorders>
              <w:top w:val="single" w:color="FFCCCC" w:sz="1"/>
              <w:left w:val="single" w:color="FFCCCC" w:sz="1"/>
              <w:bottom w:val="single" w:color="FFCCCC" w:sz="1"/>
              <w:right w:val="none"/>
            </w:tcBorders>
            <w:shd w:fill="FEE8E8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C0392B"/>
                <w:sz w:val="20"/>
                <w:szCs w:val="20"/>
              </w:rPr>
              <w:t xml:space="preserve">✗  Donne-moi des infos</w:t>
            </w:r>
          </w:p>
        </w:tc>
        <w:tc>
          <w:tcPr>
            <w:tcW w:type="dxa" w:w="4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>
            <w:r>
              <w:t xml:space="preserve"/>
            </w:r>
          </w:p>
        </w:tc>
        <w:tc>
          <w:tcPr>
            <w:tcW w:type="dxa" w:w="5042"/>
            <w:tcBorders>
              <w:top w:val="single" w:color="AADDCC" w:sz="1"/>
              <w:left w:val="none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✓  Quel est le modèle de tarification de TransferAI pour les entreprises de plus de 500 employés ?</w:t>
            </w:r>
          </w:p>
        </w:tc>
      </w:tr>
    </w:tbl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120" w:before="320"/>
      </w:pPr>
      <w:bookmarkStart w:name="part4" w:id="4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4 — Guide de Dépannage</w:t>
      </w:r>
      <w:bookmarkEnd w:id="4"/>
    </w:p>
    <w:p>
      <w:pPr>
        <w:pBdr>
          <w:bottom w:val="single" w:color="C0392B" w:sz="10" w:space="1"/>
        </w:pBdr>
        <w:spacing w:after="60" w:before="60"/>
      </w:pPr>
      <w: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Ce guide couvre les problèmes les plus fréquents. Pour chaque problème, nous indiquons la sévérité, la cause probable et les actions correctives.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2"/>
        <w:gridCol w:w="3082"/>
        <w:gridCol w:w="3582"/>
      </w:tblGrid>
      <w:tr>
        <w:tc>
          <w:tcPr>
            <w:tcW w:type="dxa" w:w="3082"/>
            <w:tcBorders>
              <w:top w:val="single" w:color="AADDCC" w:sz="1"/>
              <w:left w:val="single" w:color="AADDCC" w:sz="1"/>
              <w:bottom w:val="single" w:color="AADDCC" w:sz="1"/>
              <w:right w:val="single" w:color="AADDCC" w:sz="1"/>
            </w:tcBorders>
            <w:shd w:fill="D5F0E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0D7D6B"/>
                <w:sz w:val="19"/>
                <w:szCs w:val="19"/>
              </w:rPr>
              <w:t xml:space="preserve">🟢  FAIBLE — Gêne mineure, solution rapide</w:t>
            </w:r>
          </w:p>
        </w:tc>
        <w:tc>
          <w:tcPr>
            <w:tcW w:type="dxa" w:w="3082"/>
            <w:tcBorders>
              <w:top w:val="single" w:color="FFDDAA" w:sz="1"/>
              <w:left w:val="single" w:color="FFDDAA" w:sz="1"/>
              <w:bottom w:val="single" w:color="FFDDAA" w:sz="1"/>
              <w:right w:val="single" w:color="FFDDAA" w:sz="1"/>
            </w:tcBorders>
            <w:shd w:fill="FEF3D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8A020"/>
                <w:sz w:val="19"/>
                <w:szCs w:val="19"/>
              </w:rPr>
              <w:t xml:space="preserve">🟡  MOYEN — Impact partiel sur l'usage</w:t>
            </w:r>
          </w:p>
        </w:tc>
        <w:tc>
          <w:tcPr>
            <w:tcW w:type="dxa" w:w="3582"/>
            <w:tcBorders>
              <w:top w:val="single" w:color="FFAAAA" w:sz="1"/>
              <w:left w:val="single" w:color="FFAAAA" w:sz="1"/>
              <w:bottom w:val="single" w:color="FFAAAA" w:sz="1"/>
              <w:right w:val="single" w:color="FFAAAA" w:sz="1"/>
            </w:tcBorders>
            <w:shd w:fill="FEE8E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C0392B"/>
                <w:sz w:val="19"/>
                <w:szCs w:val="19"/>
              </w:rPr>
              <w:t xml:space="preserve">🔴  ELEVÉ — Système partiellement ou totalement arrêté</w:t>
            </w:r>
          </w:p>
        </w:tc>
      </w:tr>
    </w:tbl>
    <w:p>
      <w:pPr>
        <w:spacing w:after="6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0D7D6B" w:sz="12"/>
              <w:left w:val="thick" w:color="0D7D6B" w:sz="24"/>
              <w:bottom w:val="single" w:color="0D7D6B" w:sz="4"/>
              <w:right w:val="single" w:color="0D7D6B" w:sz="4"/>
            </w:tcBorders>
            <w:shd w:fill="D5F0E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0D7D6B"/>
                <w:sz w:val="24"/>
                <w:szCs w:val="24"/>
              </w:rPr>
              <w:t xml:space="preserve">P1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🟢  FAIBLE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Les réponses sont vagues ou trop génériques</w:t>
            </w:r>
          </w:p>
        </w:tc>
      </w:tr>
      <w:tr>
        <w:tc>
          <w:tcPr>
            <w:tcW w:type="dxa" w:w="9746"/>
            <w:tcBorders>
              <w:top w:val="none"/>
              <w:left w:val="thick" w:color="0D7D6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réponse est correcte mais manque de détails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L'IA répond de façon générale sans citer de source TransferAI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réponse ressemble à une réponse ChatGPT standard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question est trop vague (voir § 3.3)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document contenant la réponse n'est pas encore indexé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chunk pertinent est trop dilué dans la base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0D7D6B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Reformulez avec des mots-clés précis issus des titres de vos documents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Ajoutez le contexte : secteur, client, date, document spécifique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Vérifiez que le document est bien dans le Drive (dossiers 01 à 07)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Si le doc est nouveau : attendez le prochain cycle d'ingestion (toutes les 6h) ou forcez manuellement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0D7D6B" w:sz="12"/>
              <w:left w:val="thick" w:color="0D7D6B" w:sz="24"/>
              <w:bottom w:val="single" w:color="0D7D6B" w:sz="4"/>
              <w:right w:val="single" w:color="0D7D6B" w:sz="4"/>
            </w:tcBorders>
            <w:shd w:fill="D5F0E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0D7D6B"/>
                <w:sz w:val="24"/>
                <w:szCs w:val="24"/>
              </w:rPr>
              <w:t xml:space="preserve">P2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🟢  FAIBLE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La réponse prend plus de 15 secondes</w:t>
            </w:r>
          </w:p>
        </w:tc>
      </w:tr>
      <w:tr>
        <w:tc>
          <w:tcPr>
            <w:tcW w:type="dxa" w:w="9746"/>
            <w:tcBorders>
              <w:top w:val="none"/>
              <w:left w:val="thick" w:color="0D7D6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Attente anormalement longue avant la réponse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Timeout côté Chatwoot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Surcharge momentanée de l'API OpenAI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Latence réseau entre le serveur n8n et Supabase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0D7D6B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Réessayez la même question — la plupart du temps ça passe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Si le problème persiste &gt; 3 essais : vérifiez le statut OpenAI sur status.openai.com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Vérifiez que le workflow RAG est bien en mode Published dans n8n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4"/>
                <w:szCs w:val="24"/>
              </w:rPr>
              <w:t xml:space="preserve">P3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🟡  MOYEN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Aucune source n'est citée dans la réponse</w:t>
            </w:r>
          </w:p>
        </w:tc>
      </w:tr>
      <w:tr>
        <w:tc>
          <w:tcPr>
            <w:tcW w:type="dxa" w:w="9746"/>
            <w:tcBorders>
              <w:top w:val="none"/>
              <w:left w:val="thick" w:color="E8A020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réponse ne mentionne aucun document source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Absence de références dans la section 'Sources utilisées'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base de données documents est vide ou trop récente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similarité vectorielle est inférieure au seuil (0.2 est la valeur validée en production depuis juillet 2026 sur les 3 workflows RAG ; un seuil comme 0.7 est presque toujours trop strict et exclut des documents pertinents)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node 'Recherche Supabase Vector' a échoué silencieusement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E8A020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Vérifiez le compte Supabase : table 'documents' doit avoir &gt; 0 lignes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Réduisez le seuil de similarité à 0.2 (valeur validée en production) dans le node Recherche Supabase Vector — champ match_threshold du corps JSON envoyé à match_documents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Relancez manuellement le workflow d'ingestion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Testez avec une question très précise reprenant un titre exact de document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4"/>
                <w:szCs w:val="24"/>
              </w:rPr>
              <w:t xml:space="preserve">P4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🟡  MOYEN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Erreur 'Authorization failed — Expected 3 parts in JWT'</w:t>
            </w:r>
          </w:p>
        </w:tc>
      </w:tr>
      <w:tr>
        <w:tc>
          <w:tcPr>
            <w:tcW w:type="dxa" w:w="9746"/>
            <w:tcBorders>
              <w:top w:val="none"/>
              <w:left w:val="thick" w:color="E8A020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workflow RAG échoue sur le node 'Recherche Supabase Vector'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Message d'erreur contenant 'JWT' ou 'Authorization failed'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Conflit entre la credential stockée dans n8n et les headers explicites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credential 'Header Auth' injecte un token qui écrase les headers Supabase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E8A020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Ouvrez le node HTTP Request incriminé dans n8n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Vérifiez que la section 'Authentication' est vide (None) — pas de credential sélectionnée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Assurez-vous que les headers apikey et Authorization sont en mode 'Explicit Headers'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Ré-importez le fichier RAG_fixed.json si le problème persiste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P5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Le workflow d'ingestion ne remplit pas Supabase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L'ingestion se termine en 'Succeeded' mais la table documents reste vide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0 résultats dans la base après plusieurs exécutions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Mise à jour 08/07/2026 — correction de cette fiche : le champ specifyBody doit valoir exactement “json” (pas “string”, ni “=json” avec un signe = en trop qui a été la cause réelle observée en production) ; le vrai bug est que jsonBody, qui contient le corps réel, est alors ignoré et un corps vide part vers Supabase, sans faire échouer l’exécution n8n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La contrainte UNIQUE (source_id, chunk_index) manque sur la table documents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node 'Découper en chunks' retourne 0 items (fichiers binaires non lisibles)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Supabase SQL Editor : vérifier que la table 'documents' existe avec la colonne 'embedding vector(1536)'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Vérifier la contrainte : ALTER TABLE documents ADD CONSTRAINT ... UNIQUE (source_id, chunk_index)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Dans n8n : ouvrir le node HTTP Request concerné et confirmer que specifyBody = “json” (exactement, sans espace ni signe = supplémentaire) ET que jsonBody contient bien le corps attendu — ne jamais se fier au seul statut “Succeeded” de l’exécution pour juger qu’un appel envoie réellement ses données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Vérifier que les fichiers .txt sont présents dans les dossiers Drive (pas seulement les DOCX)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Test manuel : curl -X POST .../rest/v1/documents avec un vecteur de test</w:t>
            </w:r>
          </w:p>
        </w:tc>
      </w:tr>
    </w:tbl>
    <w:p>
      <w:pPr>
        <w:spacing w:after="4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P6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Google Drive — 'Cannot read properties of undefined (reading execute)'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Erreur immédiate sur le node Drive dans le workflow d'ingestion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L'opération 'list' n'est pas reconnue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Le node Google Drive v3 ne supporte PAS l'opération 'list' pour les fichiers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Incompatibilité entre la version du node et l'API attendue</w:t>
            </w:r>
          </w:p>
          <w:p>
            <w:pPr>
              <w:spacing w:after="20" w:before="40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Remplacer le node Drive 'list' par un HTTP Request vers l'API Google Drive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URL : GET https://www.googleapis.com/drive/v3/files?q='{id}'+in+parents+...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Authentication : Predefined Credential Type → Google Drive OAuth2 API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color w:val="1B3F6E"/>
                <w:sz w:val="20"/>
                <w:szCs w:val="20"/>
              </w:rPr>
              <w:t xml:space="preserve">Ajouter un node Code 'Aplatir liste fichiers' après pour extraire files[]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P7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— Système partiellement ou totalement arrêté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Le workflow affiche “Succeeded” mais la recherche vectorielle n’a jamais eu lieu (corps de requête vide)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Aucune erreur visible dans n’importe quel onglet Executions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Les réponses ne citent jamais aucune source, même sur des questions dont on sait que la documentation existe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node “Recherche Supabase Vector” produit un item vide ({}) au lieu des documents attendus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champ specifyBody vaut “=json” (avec un = en trop) au lieu de “json” — ce n’est pas un champ expression, une bascule d’interface entre les modes “Using Fields Below” et “Using JSON” peut corrompre sa valeur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vrai corps de requête, stocké dans jsonBody, est alors ignoré et un corps vide part vers l’API Supabase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Ouvrir chaque node HTTP Request du workflow et vérifier parameters.specifyBody === “json” exactement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Vérifier aussi que jsonBody contient bien le corps attendu (l’embedding, le seuil, le nombre de résultats)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Ne jamais se fier au statut “Succeeded” seul — toujours ouvrir le panneau OUTPUT du node et compter les items réellement produits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P8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— Système partiellement ou totalement arrêté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Une question hors-sujet obtient une vraie réponse au lieu d’escalader vers un conseiller humain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L’IA répond librement, hors du périmètre documentaire, sans jamais déclencher l’escalade Chatwoot prévue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La réponse cite “1 source” avec un titre générique (“Document”) et une similarité de 0%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n8n renvoie un item vide ({}) — et non 0 item — quand la recherche vectorielle ne trouve réellement aucun document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code qui compte les sources trouvées ne filtrait pas cet item vide, donc le nombre de sources était toujours ≥ 1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Dans le node qui construit le contexte RAG, filtrer les résultats sur la présence d’un vrai titre ou contenu avant de compter les sources : ne garder que les items où titre ou contenu existe réellement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Retester avec une question volontairement hors-sujet pour confirmer que l’escalade se déclenche bien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4"/>
                <w:szCs w:val="24"/>
              </w:rPr>
              <w:t xml:space="preserve">P9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🟡  MOYEN — Impact partiel sur l'usage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L’escalade vers un conseiller humain échoue silencieusement (aucune notification Chatwoot créée)</w:t>
            </w:r>
          </w:p>
        </w:tc>
      </w:tr>
      <w:tr>
        <w:tc>
          <w:tcPr>
            <w:tcW w:type="dxa" w:w="9746"/>
            <w:tcBorders>
              <w:top w:val="none"/>
              <w:left w:val="thick" w:color="E8A020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prospect reçoit bien le message “un conseiller va vous recontacter”, mais aucune conversation n’apparaît réellement dans Chatwoot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Aucun agent n’est notifié d’une question sans réponse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token API Chatwoot codé en dur dans les nodes d’escalade est expiré ou a été invalidé par la régénération d’un token sur un autre workflow du même compte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Les champs inbox_id et contact_id utilisés pour créer la conversation contiennent des valeurs factices (1) au lieu des vrais identifiants du compte Chatwoot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Régénérer un token Chatwoot valide (Profil → Access Token) et le reporter sur tous les nodes concernés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Vérifier les vrais inbox_id via GET /api/v1/accounts/{account_id}/inboxes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Créer ou identifier un contact dédié aux escalades système plutôt que d’utiliser contact_id: 1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Ajouter onError: continueRegularOutput sur ces nodes pour que le webhook réponde toujours à l’appelant même si la notification interne échoue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C0392B" w:sz="12"/>
              <w:left w:val="thick" w:color="C0392B" w:sz="24"/>
              <w:bottom w:val="single" w:color="C0392B" w:sz="4"/>
              <w:right w:val="single" w:color="C0392B" w:sz="4"/>
            </w:tcBorders>
            <w:shd w:fill="FEE8E8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C0392B"/>
                <w:sz w:val="24"/>
                <w:szCs w:val="24"/>
              </w:rPr>
              <w:t xml:space="preserve">P10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🔴  ELEVÉ — Système partiellement ou totalement arrêté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Les réponses WhatsApp ne citent jamais aucune source RAG, malgré une recherche documentaire qui fonctionne correctement</w:t>
            </w:r>
          </w:p>
        </w:tc>
      </w:tr>
      <w:tr>
        <w:tc>
          <w:tcPr>
            <w:tcW w:type="dxa" w:w="9746"/>
            <w:tcBorders>
              <w:top w:val="none"/>
              <w:left w:val="thick" w:color="C0392B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compteur interne de sources trouvées (rag_sources_count) reste à 0 dans 100% des conversations, même sur des questions dont la documentation existe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L’IA répond correctement mais jamais de façon spécifiquement ancrée dans les documents TransferAI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node qui construit le prompt envoyé à GPT ne lit que le premier résultat renvoyé par n8n via .first(), alors qu’une réponse contenant plusieurs documents est éclatée par n8n en autant d’items séparés — un seul document (ou aucun) était donc jamais lu, peu importe le nombre réel de résultats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Remplacer la lecture par $(‘Nom du node de recherche’).all().map(item ⇒ item.json), puis filtrer les items sans titre ni contenu réel avant de les injecter dans le prompt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Valider hors-ligne en rejouant les données d’une exécution passée avant de déployer, plutôt que de tester en direct sur un canal client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thick" w:color="E8A020" w:sz="12"/>
              <w:left w:val="thick" w:color="E8A020" w:sz="24"/>
              <w:bottom w:val="single" w:color="E8A020" w:sz="4"/>
              <w:right w:val="single" w:color="E8A020" w:sz="4"/>
            </w:tcBorders>
            <w:shd w:fill="FEF3DC" w:val="clear"/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color w:val="E8A020"/>
                <w:sz w:val="24"/>
                <w:szCs w:val="24"/>
              </w:rPr>
              <w:t xml:space="preserve">P11  </w:t>
            </w:r>
            <w:r>
              <w:rPr>
                <w:rFonts w:ascii="Arial" w:cs="Arial" w:eastAsia="Arial" w:hAnsi="Arial"/>
                <w:b/>
                <w:bCs/>
                <w:color w:val="555555"/>
                <w:sz w:val="20"/>
                <w:szCs w:val="20"/>
              </w:rPr>
              <w:t xml:space="preserve">🟡  MOYEN — Impact partiel sur l'usage  </w:t>
            </w:r>
            <w:r>
              <w:rPr>
                <w:rFonts w:ascii="Arial" w:cs="Arial" w:eastAsia="Arial" w:hAnsi="Arial"/>
                <w:b/>
                <w:bCs/>
                <w:color w:val="1B3F6E"/>
                <w:sz w:val="24"/>
                <w:szCs w:val="24"/>
              </w:rPr>
              <w:t xml:space="preserve">  Un message généré par l’IA n’arrive jamais sur WhatsApp, malgré une exécution “Succeeded”</w:t>
            </w:r>
          </w:p>
        </w:tc>
      </w:tr>
      <w:tr>
        <w:tc>
          <w:tcPr>
            <w:tcW w:type="dxa" w:w="9746"/>
            <w:tcBorders>
              <w:top w:val="none"/>
              <w:left w:val="thick" w:color="E8A020" w:sz="24"/>
              <w:bottom w:val="none"/>
              <w:right w:val="single" w:color="DDDDDD" w:sz="4"/>
            </w:tcBorders>
            <w:shd w:fill="F4F4F4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Symptômes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Toutes les étapes du workflow s’exécutent sans erreur apparente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 node d’envoi vers Chatwoot renvoie en réalité {"error": "Invalid Access Token"} dans sa sortie, invisible tant qu’on ne l’ouvre pas explicitement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Causes probables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Un compte Chatwoot n’a qu’un seul token d’accès agent actif à la fois : régénérer ce token pour corriger un autre workflow du même compte invalide silencieusement l’ancien token encore utilisé ailleurs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Les nodes concernés ont neverError activé dans leurs options, donc l’échec ne fait jamais planter l’exécution n8n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Actions correctives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Après toute régénération d’un token Chatwoot, mettre à jour TOUS les workflows connus du même compte, pas seulement celui qu’on est en train de corriger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Ouvrir systématiquement la sortie réelle des nodes vers Chatwoot (pas seulement le statut d’exécution) pour vérifier l’absence du champ error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before="30"/>
            </w:pPr>
            <w:r>
              <w:rPr>
                <w:rFonts w:ascii="Arial" w:cs="Arial" w:eastAsia="Arial" w:hAnsi="Arial"/>
                <w:b w:val="false"/>
                <w:bCs w:val="false"/>
                <w:color w:val="555555"/>
                <w:sz w:val="20"/>
                <w:szCs w:val="20"/>
              </w:rPr>
              <w:t xml:space="preserve">Confirmer la livraison en envoyant un vrai message de test et en vérifiant sa réception sur le téléphone, pas seulement dans les logs n8n</w:t>
            </w:r>
          </w:p>
        </w:tc>
      </w:tr>
    </w:tbl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p>
      <w:pPr>
        <w:spacing w:after="40" w:before="80"/>
      </w:pPr>
      <w:r>
        <w:t xml:space="preserve"/>
      </w:r>
    </w:p>
    <w:p>
      <w:pPr>
        <w:spacing w:after="80" w:before="14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4.7  Checklist de Vérification Quotidienne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Effectuez ces vérifications chaque matin pour garantir le bon fonctionnement du système RAG :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246"/>
        <w:gridCol w:w="2000"/>
        <w:gridCol w:w="2000"/>
      </w:tblGrid>
      <w:tr>
        <w:trPr>
          <w:tblHeader/>
        </w:trPr>
        <w:tc>
          <w:tcPr>
            <w:tcW w:type="dxa" w:w="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2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Vérification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Où vérifier</w:t>
            </w:r>
          </w:p>
        </w:tc>
        <w:tc>
          <w:tcPr>
            <w:tcW w:type="dxa" w:w="2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Fréquence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Table 'documents' contient des enregistrements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Supabase → Table Editor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Quotidien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7D6B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Workflow RAG est en mode 'Published'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n8n → Workflow list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Quotidien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Workflow Ingestion a tourné dans les dernières 6h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n8n → Executions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Quotidien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7D6B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Clé API OpenAI est valide (non expirée)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platform.openai.com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Hebdomadaire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F6E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Credential Google Drive OAuth est actif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n8n → Credentials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Mensuel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D7D6B"/>
                <w:sz w:val="28"/>
                <w:szCs w:val="28"/>
              </w:rPr>
              <w:t xml:space="preserve">☐</w:t>
            </w:r>
          </w:p>
        </w:tc>
        <w:tc>
          <w:tcPr>
            <w:tcW w:type="dxa" w:w="5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5F0E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Nouveaux documents ajoutés dans les sous-dossiers Drive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Au besoin</w:t>
            </w:r>
          </w:p>
        </w:tc>
      </w:tr>
    </w:tbl>
    <w:p>
      <w:pPr>
        <w:spacing w:after="80" w:before="200"/>
      </w:pPr>
      <w:r>
        <w:t xml:space="preserve"/>
      </w:r>
    </w:p>
    <w:p>
      <w:r>
        <w:br w:type="page"/>
      </w:r>
    </w:p>
    <w:p>
      <w:pPr>
        <w:pStyle w:val="Heading1"/>
        <w:spacing w:after="120" w:before="320"/>
      </w:pPr>
      <w:bookmarkStart w:name="part5" w:id="5"/>
      <w:r>
        <w:rPr>
          <w:rFonts w:ascii="Arial" w:cs="Arial" w:eastAsia="Arial" w:hAnsi="Arial"/>
          <w:b/>
          <w:bCs/>
          <w:color w:val="1B3F6E"/>
          <w:sz w:val="34"/>
          <w:szCs w:val="34"/>
        </w:rPr>
        <w:t xml:space="preserve">PARTIE 5 — Contacts &amp; Ressources</w:t>
      </w:r>
      <w:bookmarkEnd w:id="5"/>
    </w:p>
    <w:p>
      <w:pPr>
        <w:pBdr>
          <w:bottom w:val="single" w:color="1B3F6E" w:sz="10" w:space="1"/>
        </w:pBdr>
        <w:spacing w:after="60" w:before="6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5.1  Contacts Support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746"/>
        <w:gridCol w:w="4000"/>
      </w:tblGrid>
      <w:tr>
        <w:trPr>
          <w:tblHeader/>
        </w:trPr>
        <w:tc>
          <w:tcPr>
            <w:tcW w:type="dxa" w:w="3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dxa" w:w="27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Contact</w:t>
            </w:r>
          </w:p>
        </w:tc>
        <w:tc>
          <w:tcPr>
            <w:tcW w:type="dxa" w:w="40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Pour quel problème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Administrateur Système</w:t>
            </w:r>
          </w:p>
        </w:tc>
        <w:tc>
          <w:tcPr>
            <w:tcW w:type="dxa" w:w="2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Équipe Technique TransferAI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Erreurs workflows n8n, Supabase, credentials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Support Formation</w:t>
            </w:r>
          </w:p>
        </w:tc>
        <w:tc>
          <w:tcPr>
            <w:tcW w:type="dxa" w:w="2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Formation IA — Juillet 2026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Questions sur le contenu du guide, cas d'usage</w:t>
            </w:r>
          </w:p>
        </w:tc>
      </w:tr>
      <w:t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Fondateur</w:t>
            </w:r>
          </w:p>
        </w:tc>
        <w:tc>
          <w:tcPr>
            <w:tcW w:type="dxa" w:w="27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contact@transferai.africa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3F6E"/>
                <w:sz w:val="20"/>
                <w:szCs w:val="20"/>
              </w:rPr>
              <w:t xml:space="preserve">Escalades, décisions stratégiques base documentaire</w:t>
            </w:r>
          </w:p>
        </w:tc>
      </w:tr>
    </w:tbl>
    <w:p>
      <w:pPr>
        <w:spacing w:after="80" w:before="140"/>
      </w:pPr>
      <w:r>
        <w:t xml:space="preserve"/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1B3F6E"/>
          <w:sz w:val="26"/>
          <w:szCs w:val="26"/>
        </w:rPr>
        <w:t xml:space="preserve">5.2  Liens Utiles</w:t>
      </w:r>
    </w:p>
    <w:p>
      <w:pPr>
        <w:spacing w:after="80" w:before="80"/>
      </w:pPr>
      <w:r>
        <w:t xml:space="preserv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246"/>
      </w:tblGrid>
      <w:tr>
        <w:trPr>
          <w:tblHeader/>
        </w:trPr>
        <w:tc>
          <w:tcPr>
            <w:tcW w:type="dxa" w:w="35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Ressource</w:t>
            </w:r>
          </w:p>
        </w:tc>
        <w:tc>
          <w:tcPr>
            <w:tcW w:type="dxa" w:w="6246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B3F6E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Accès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Interface n8n (workflows)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https://n8n-pxlk.srv1480638.hstgr.cloud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Base de données Supabase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https://wlhznciwuofueffyoflo.supabase.co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Chatwoot (interface client)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https://app.chatwoot.com — Compte 163278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Google Drive — Base documentaire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Base documentaire RAG / (7 sous-dossiers)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Webhook RAG (externe)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POST /webhook/recherche-documentaire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Webhook RAG (interne)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POST /webhook/recherche-documentaire-interne (workflow Recherche_Documentaire_RAG)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Interface Web RAG (nouveau)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https://www.transferai.ci/demo/recherche-documentaire — page publique, sans authentification, réservée à un usage interne par convention</w:t>
            </w:r>
          </w:p>
        </w:tc>
      </w:tr>
      <w:tr>
        <w:tc>
          <w:tcPr>
            <w:tcW w:type="dxa" w:w="3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color w:val="1B3F6E"/>
                <w:sz w:val="20"/>
                <w:szCs w:val="20"/>
              </w:rPr>
              <w:t xml:space="preserve">Statut OpenAI</w:t>
            </w:r>
          </w:p>
        </w:tc>
        <w:tc>
          <w:tcPr>
            <w:tcW w:type="dxa" w:w="624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4F4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color w:val="0D7D6B"/>
                <w:sz w:val="20"/>
                <w:szCs w:val="20"/>
              </w:rPr>
              <w:t xml:space="preserve">https://status.openai.com</w:t>
            </w:r>
          </w:p>
        </w:tc>
      </w:tr>
    </w:tbl>
    <w:p>
      <w:pPr>
        <w:spacing w:after="100" w:before="200"/>
      </w:pPr>
      <w:r>
        <w:t xml:space="preserve"/>
      </w:r>
    </w:p>
    <w:p>
      <w:pPr>
        <w:pBdr>
          <w:bottom w:val="single" w:color="E8A020" w:sz="16" w:space="1"/>
        </w:pBdr>
        <w:spacing w:after="60" w:before="60"/>
      </w:pPr>
      <w:r>
        <w:t xml:space="preserve"/>
      </w:r>
    </w:p>
    <w:p>
      <w:pPr>
        <w:spacing w:after="60" w:before="100"/>
      </w:pPr>
      <w:r>
        <w:t xml:space="preserve"/>
      </w:r>
    </w:p>
    <w:p>
      <w:pPr>
        <w:spacing w:after="40" w:before="60"/>
        <w:jc w:val="center"/>
      </w:pPr>
      <w:r>
        <w:rPr>
          <w:rFonts w:ascii="Arial" w:cs="Arial" w:eastAsia="Arial" w:hAnsi="Arial"/>
          <w:b/>
          <w:bCs/>
          <w:color w:val="1B3F6E"/>
          <w:sz w:val="20"/>
          <w:szCs w:val="20"/>
        </w:rPr>
        <w:t xml:space="preserve">TransferAI Africa — Formation IA Pratique aux Métiers — Juillet 2026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Ce document est mis à jour automatiquement à chaque cycle de formation.</w:t>
      </w:r>
    </w:p>
    <w:p>
      <w:pPr>
        <w:spacing w:after="40" w:before="40"/>
        <w:jc w:val="center"/>
      </w:pPr>
      <w:r>
        <w:rPr>
          <w:rFonts w:ascii="Arial" w:cs="Arial" w:eastAsia="Arial" w:hAnsi="Arial"/>
          <w:color w:val="0D7D6B"/>
          <w:sz w:val="20"/>
          <w:szCs w:val="20"/>
        </w:rPr>
        <w:t xml:space="preserve">www.transferai.africa  |  contact@transferai.africa</w:t>
      </w:r>
    </w:p>
    <w:sectPr>
      <w:headerReference w:type="default" r:id="rId9"/>
      <w:footerReference w:type="default" r:id="rId10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A020" w:sz="6" w:space="1"/>
      </w:pBdr>
      <w:tabs>
        <w:tab w:val="right" w:pos="9026"/>
      </w:tabs>
      <w:spacing w:after="0" w:before="80"/>
    </w:pPr>
    <w:r>
      <w:rPr>
        <w:rFonts w:ascii="Arial" w:cs="Arial" w:eastAsia="Arial" w:hAnsi="Arial"/>
        <w:i/>
        <w:iCs/>
        <w:color w:val="555555"/>
        <w:sz w:val="17"/>
        <w:szCs w:val="17"/>
      </w:rPr>
      <w:t xml:space="preserve">Confidentiel — Usage interne</w:t>
    </w:r>
    <w:r>
      <w:rPr>
        <w:rFonts w:ascii="Arial" w:cs="Arial" w:eastAsia="Arial" w:hAnsi="Arial"/>
        <w:color w:val="555555"/>
        <w:sz w:val="17"/>
        <w:szCs w:val="17"/>
      </w:rPr>
      <w:t xml:space="preserve">	Page </w:t>
    </w:r>
    <w:r>
      <w:rPr>
        <w:rFonts w:ascii="Arial" w:cs="Arial" w:eastAsia="Arial" w:hAnsi="Arial"/>
        <w:b/>
        <w:bCs/>
        <w:color w:val="1B3F6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F6E" w:sz="6" w:space="1"/>
      </w:pBdr>
      <w:tabs>
        <w:tab w:val="right" w:pos="9026"/>
      </w:tabs>
      <w:spacing w:after="80" w:before="0"/>
    </w:pPr>
    <w:r>
      <w:rPr>
        <w:rFonts w:ascii="Arial" w:cs="Arial" w:eastAsia="Arial" w:hAnsi="Arial"/>
        <w:b/>
        <w:bCs/>
        <w:color w:val="1B3F6E"/>
        <w:sz w:val="18"/>
        <w:szCs w:val="18"/>
      </w:rPr>
      <w:t xml:space="preserve">TransferAI Africa  —  Guide RAG</w:t>
    </w:r>
    <w:r>
      <w:rPr>
        <w:rFonts w:ascii="Arial" w:cs="Arial" w:eastAsia="Arial" w:hAnsi="Arial"/>
        <w:color w:val="555555"/>
        <w:sz w:val="18"/>
        <w:szCs w:val="18"/>
      </w:rPr>
      <w:t xml:space="preserve">	Formation IA Juillet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►"/>
      <w:lvlJc w:val="left"/>
      <w:pPr>
        <w:ind w:left="58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B3F6E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1B3F6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0D7D6B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2026-07-03T00:35:31.322Z</dcterms:created>
  <dcterms:modified xsi:type="dcterms:W3CDTF">2026-07-03T00:35:31.323Z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