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B3F6E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TransferAI Africa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8A020"/>
                <w:sz w:val="24"/>
                <w:szCs w:val="24"/>
              </w:rPr>
              <w:t xml:space="preserve">Solutions d'Intelligence Artificielle pour l'Afrique</w:t>
            </w:r>
          </w:p>
        </w:tc>
      </w:tr>
    </w:tbl>
    <w:p>
      <w:pPr>
        <w:spacing w:after="100" w:before="400"/>
      </w:pPr>
      <w:r>
        <w:t xml:space="preserve"/>
      </w: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1B3F6E"/>
          <w:sz w:val="56"/>
          <w:szCs w:val="56"/>
        </w:rPr>
        <w:t xml:space="preserve">GUIDE COMPLET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E8A020"/>
          <w:sz w:val="40"/>
          <w:szCs w:val="40"/>
        </w:rPr>
        <w:t xml:space="preserve">Recherche Documentaire Intelligente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0D7D6B"/>
          <w:sz w:val="28"/>
          <w:szCs w:val="28"/>
        </w:rPr>
        <w:t xml:space="preserve">Powered by RAG — Retrieval Augmented Generation</w:t>
      </w:r>
    </w:p>
    <w:p>
      <w:pPr>
        <w:pBdr>
          <w:bottom w:val="single" w:color="E8A020" w:sz="20" w:space="1"/>
        </w:pBdr>
        <w:spacing w:after="60" w:before="60"/>
      </w:pPr>
      <w:r>
        <w:t xml:space="preserve"/>
      </w:r>
    </w:p>
    <w:p>
      <w:pPr>
        <w:spacing w:after="100" w:before="20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00"/>
        <w:gridCol w:w="3100"/>
        <w:gridCol w:w="200"/>
        <w:gridCol w:w="3146"/>
      </w:tblGrid>
      <w:tr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  <w:shd w:fill="1B3F6E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96"/>
                <w:szCs w:val="96"/>
              </w:rPr>
              <w:t xml:space="preserve">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Retrieval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BBCCDD"/>
                <w:sz w:val="19"/>
                <w:szCs w:val="19"/>
              </w:rPr>
              <w:t xml:space="preserve">Recherche dans vos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CCDD"/>
                <w:sz w:val="19"/>
                <w:szCs w:val="19"/>
              </w:rPr>
              <w:t xml:space="preserve">propres documents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40"/>
                <w:szCs w:val="40"/>
              </w:rPr>
              <w:t xml:space="preserve">+</w:t>
            </w:r>
          </w:p>
        </w:tc>
        <w:tc>
          <w:tcPr>
            <w:tcW w:type="dxa" w:w="3100"/>
            <w:tcBorders>
              <w:top w:val="none"/>
              <w:left w:val="none"/>
              <w:bottom w:val="none"/>
              <w:right w:val="none"/>
            </w:tcBorders>
            <w:shd w:fill="0D7D6B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96"/>
                <w:szCs w:val="96"/>
              </w:rPr>
              <w:t xml:space="preserve">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Augmented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BBDDCC"/>
                <w:sz w:val="19"/>
                <w:szCs w:val="19"/>
              </w:rPr>
              <w:t xml:space="preserve">Enrichie avec 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DCC"/>
                <w:sz w:val="19"/>
                <w:szCs w:val="19"/>
              </w:rPr>
              <w:t xml:space="preserve">extraits pertinents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40"/>
                <w:szCs w:val="40"/>
              </w:rPr>
              <w:t xml:space="preserve">+</w:t>
            </w:r>
          </w:p>
        </w:tc>
        <w:tc>
          <w:tcPr>
            <w:tcW w:type="dxa" w:w="3146"/>
            <w:tcBorders>
              <w:top w:val="none"/>
              <w:left w:val="none"/>
              <w:bottom w:val="none"/>
              <w:right w:val="none"/>
            </w:tcBorders>
            <w:shd w:fill="E8A020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F6E"/>
                <w:sz w:val="96"/>
                <w:szCs w:val="96"/>
              </w:rPr>
              <w:t xml:space="preserve">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F6E"/>
                <w:sz w:val="28"/>
                <w:szCs w:val="28"/>
              </w:rPr>
              <w:t xml:space="preserve">Generation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1B3F6E"/>
                <w:sz w:val="19"/>
                <w:szCs w:val="19"/>
              </w:rPr>
              <w:t xml:space="preserve">Rédige une réponse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B3F6E"/>
                <w:sz w:val="19"/>
                <w:szCs w:val="19"/>
              </w:rPr>
              <w:t xml:space="preserve">claire et sourcée</w:t>
            </w:r>
          </w:p>
        </w:tc>
      </w:tr>
    </w:tbl>
    <w:p>
      <w:pPr>
        <w:spacing w:after="100" w:before="300"/>
      </w:pPr>
      <w:r>
        <w:t xml:space="preserve"/>
      </w:r>
    </w:p>
    <w:p>
      <w:pPr>
        <w:pBdr>
          <w:bottom w:val="single" w:color="E8A020" w:sz="12" w:space="1"/>
        </w:pBdr>
        <w:spacing w:after="60" w:before="60"/>
      </w:pPr>
      <w:r>
        <w:t xml:space="preserve"/>
      </w:r>
    </w:p>
    <w:p>
      <w:pPr>
        <w:spacing w:after="60" w:before="100"/>
      </w:pPr>
      <w: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Formation IA Pratique aux Metiers — Juillet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Document confidentiel — Usage interne TransferAI Africa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0D7D6B"/>
          <w:sz w:val="20"/>
          <w:szCs w:val="20"/>
        </w:rPr>
        <w:t xml:space="preserve">contact@transferai.ci  |  www.transferai.ci</w:t>
      </w:r>
    </w:p>
    <w:p>
      <w:pPr>
        <w:spacing w:after="40" w:before="120"/>
        <w:jc w:val="center"/>
      </w:pPr>
      <w:r>
        <w:rPr>
          <w:rFonts w:ascii="Arial" w:cs="Arial" w:eastAsia="Arial" w:hAnsi="Arial"/>
          <w:i/>
          <w:iCs/>
          <w:color w:val="E8A020"/>
          <w:sz w:val="18"/>
          <w:szCs w:val="18"/>
        </w:rPr>
        <w:t xml:space="preserve">Mise à jour du contenu : 08 juillet 2026 — nouvelle interface web (partie 3.1), 5 nouveaux problèmes documentés et 2 fiches corrigées en partie 4, liens mis à jour en partie 5.2.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720" w:right="1080" w:bottom="720" w:left="1080" w:header="708" w:footer="708" w:gutter="0"/>
          <w:pgNumType/>
          <w:docGrid w:linePitch="360"/>
        </w:sectPr>
      </w:pPr>
    </w:p>
    <w:p>
      <w:pPr>
        <w:pStyle w:val="Heading1"/>
        <w:spacing w:after="120" w:before="320"/>
      </w:pPr>
      <w:bookmarkStart w:name="part1" w:id="1"/>
      <w:r>
        <w:rPr>
          <w:rFonts w:ascii="Arial" w:cs="Arial" w:eastAsia="Arial" w:hAnsi="Arial"/>
          <w:b/>
          <w:bCs/>
          <w:color w:val="1B3F6E"/>
          <w:sz w:val="34"/>
          <w:szCs w:val="34"/>
        </w:rPr>
        <w:t xml:space="preserve">PARTIE 1 — Comprendre la Technologie RAG</w:t>
      </w:r>
      <w:bookmarkEnd w:id="1"/>
    </w:p>
    <w:p>
      <w:pPr>
        <w:pBdr>
          <w:bottom w:val="single" w:color="E8A020" w:sz="10" w:space="1"/>
        </w:pBd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F6E"/>
          <w:sz w:val="26"/>
          <w:szCs w:val="26"/>
        </w:rPr>
        <w:t xml:space="preserve">1.1  Qu'est-ce que le RAG 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RAG — Retrieval Augmented Generation — est une architecture d'intelligence artificielle qui révolutionne la façon dont les organisations exploitent leur propre documentation. Contrairement à un chatbot généraliste qui répond uniquement depuis sa mémoire de formation, le RAG donne à l'IA accès à VOS documents, en temps réel.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thick" w:color="1B3F6E" w:sz="12"/>
              <w:left w:val="thick" w:color="1B3F6E" w:sz="24"/>
              <w:bottom w:val="single" w:color="1B3F6E" w:sz="4"/>
              <w:right w:val="single" w:color="1B3F6E" w:sz="4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1B3F6E"/>
                <w:sz w:val="21"/>
                <w:szCs w:val="21"/>
              </w:rPr>
              <w:t xml:space="preserve">Définition simple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1"/>
                <w:szCs w:val="21"/>
              </w:rPr>
              <w:t xml:space="preserve">Le RAG, c'est comme avoir un expert qui connait parfaitement toute votre documentation et qui peut répondre instantanément à n'importe quelle question en citant ses sources.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046"/>
        <w:gridCol w:w="3000"/>
      </w:tblGrid>
      <w:tr>
        <w:trPr>
          <w:tblHeader/>
        </w:trPr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Lettre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</w:t>
            </w:r>
          </w:p>
        </w:tc>
        <w:tc>
          <w:tcPr>
            <w:tcW w:type="dxa" w:w="30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fait l'IA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pour vous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F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B3F6E"/>
                <w:sz w:val="22"/>
                <w:szCs w:val="22"/>
              </w:rPr>
              <w:t xml:space="preserve">Retrieval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Recherche</w:t>
            </w:r>
          </w:p>
        </w:tc>
        <w:tc>
          <w:tcPr>
            <w:tcW w:type="dxa" w:w="30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Cherche et récupère les passages les plus pertinents de votre base documentaire en moins d'une seconde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Réponses basées sur VOS données, pas sur des informations génériques d'internet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D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0D7D6B"/>
                <w:sz w:val="22"/>
                <w:szCs w:val="22"/>
              </w:rPr>
              <w:t xml:space="preserve">Augmented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Augmentée</w:t>
            </w:r>
          </w:p>
        </w:tc>
        <w:tc>
          <w:tcPr>
            <w:tcW w:type="dxa" w:w="30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Enrichit son contexte avec les extraits retrouvés avant de formuler sa réponse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Réponses précises, complètes, contextualisées à votre réalité terrain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Generation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Génération</w:t>
            </w:r>
          </w:p>
        </w:tc>
        <w:tc>
          <w:tcPr>
            <w:tcW w:type="dxa" w:w="30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Rédige une réponse claire, structurée en langue naturelle, avec les sources citées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Un expert disponible 24h/24 qui ne se trompe pas et montre ses sources</w:t>
            </w:r>
          </w:p>
        </w:tc>
      </w:tr>
    </w:tbl>
    <w:p>
      <w:pPr>
        <w:spacing w:after="6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F6E"/>
          <w:sz w:val="26"/>
          <w:szCs w:val="26"/>
        </w:rPr>
        <w:t xml:space="preserve">1.2  Comment fonctionne le RAG — Sous le capot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Quand vous posez une question au système RAG de TransferAI, voici exactement ce qui se passe en quelques secondes :</w:t>
      </w:r>
    </w:p>
    <w:p>
      <w:pPr>
        <w:spacing w:after="100" w:before="10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1B3F6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B3F6E"/>
                <w:sz w:val="23"/>
                <w:szCs w:val="23"/>
              </w:rPr>
              <w:t xml:space="preserve">Votre question est reçue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Le webhook n8n capture votre question envoyée via Chatwoot ou l'interface web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spacing w:after="8" w:before="8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0D7D6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B3F6E"/>
                <w:sz w:val="23"/>
                <w:szCs w:val="23"/>
              </w:rPr>
              <w:t xml:space="preserve">Vectorisation de la question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OpenAI transforme votre question en vecteur mathématique de 1536 dimensions (text-embedding-3-small)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spacing w:after="8" w:before="8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E8A02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B3F6E"/>
                <w:sz w:val="23"/>
                <w:szCs w:val="23"/>
              </w:rPr>
              <w:t xml:space="preserve">Recherche vectorielle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Supabase pgvector compare ce vecteur aux 5 000+ chunks indexés et retourne les 5 passages les plus similaires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spacing w:after="8" w:before="8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1B3F6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B3F6E"/>
                <w:sz w:val="23"/>
                <w:szCs w:val="23"/>
              </w:rPr>
              <w:t xml:space="preserve">Anonymisation des données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Les données sensibles (noms, emails, téléphones) sont remplacées par des tokens avant d'aller vers GPT-4o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spacing w:after="8" w:before="8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0D7D6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B3F6E"/>
                <w:sz w:val="23"/>
                <w:szCs w:val="23"/>
              </w:rPr>
              <w:t xml:space="preserve">Génération de la réponse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GPT-4o rédige une réponse structurée, basée uniquement sur les extraits fournis, avec les sources citées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spacing w:after="8" w:before="8"/>
            </w:pPr>
            <w:r>
              <w:t xml:space="preserve"/>
            </w:r>
          </w:p>
        </w:tc>
      </w:tr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E8A02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B3F6E"/>
                <w:sz w:val="23"/>
                <w:szCs w:val="23"/>
              </w:rPr>
              <w:t xml:space="preserve">Désanonymisation &amp; livraison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Les tokens sont remplacés par les vraies données et la réponse est retournée en quelques secondes</w:t>
            </w:r>
          </w:p>
        </w:tc>
      </w:tr>
    </w:tbl>
    <w:p>
      <w:pPr>
        <w:spacing w:after="8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bookmarkStart w:name="part2" w:id="2"/>
      <w:r>
        <w:rPr>
          <w:rFonts w:ascii="Arial" w:cs="Arial" w:eastAsia="Arial" w:hAnsi="Arial"/>
          <w:b/>
          <w:bCs/>
          <w:color w:val="1B3F6E"/>
          <w:sz w:val="34"/>
          <w:szCs w:val="34"/>
        </w:rPr>
        <w:t xml:space="preserve">PARTIE 2 — L'Histoire TransferAI &amp; Sa Base de Connaissance</w:t>
      </w:r>
      <w:bookmarkEnd w:id="2"/>
    </w:p>
    <w:p>
      <w:pPr>
        <w:pBdr>
          <w:bottom w:val="single" w:color="0D7D6B" w:sz="10" w:space="1"/>
        </w:pBd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F6E"/>
          <w:sz w:val="26"/>
          <w:szCs w:val="26"/>
        </w:rPr>
        <w:t xml:space="preserve">2.1  Le Défi de TransferAI Africa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TransferAI Africa accompagne des entreprises africaines dans leur transition vers l'intelligence artificielle. En 2026, l'équipe fait face à un défi commun à toutes les organisations en croissance rapide 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thick" w:color="E8A020" w:sz="12"/>
              <w:left w:val="thick" w:color="E8A020" w:sz="24"/>
              <w:bottom w:val="single" w:color="E8A020" w:sz="4"/>
              <w:right w:val="single" w:color="E8A020" w:sz="4"/>
            </w:tcBorders>
            <w:shd w:fill="FEF3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1B3F6E"/>
                <w:sz w:val="21"/>
                <w:szCs w:val="21"/>
              </w:rPr>
              <w:t xml:space="preserve">Le problème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1"/>
                <w:szCs w:val="21"/>
              </w:rPr>
              <w:t xml:space="preserve">Des centaines de documents internes — procédures, guides, réglementations, decks sectoriels — dispersés sur des drives, impossible à retrouver rapidement. Quand un consultant devait répondre à un client sur la réglementation UEMOA ou les étapes d'un audit IA, il perdait 30 minutes à chercher le bon document.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1"/>
                <w:szCs w:val="21"/>
              </w:rPr>
              <w:t xml:space="preserve">Les consultants perdaient en moyenne 2h par jour à chercher des informations dans leurs propres documents.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F6E"/>
          <w:sz w:val="26"/>
          <w:szCs w:val="26"/>
        </w:rPr>
        <w:t xml:space="preserve">2.2  La Solution : Une Base de Connaissance RAG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L'équipe TransferAI a décidé de construire son propre système RAG en utilisant les outils qu'elle maîtrise : n8n pour l'orchestration, Supabase pour le stockage vectoriel, et GPT-4o pour la génération.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7D6B"/>
          <w:sz w:val="23"/>
          <w:szCs w:val="23"/>
        </w:rPr>
        <w:t xml:space="preserve">La Base Documentaire — 856 fichiers organisés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Voici la structure de la base de connaissance TransferAI, construite lors de ce projet :</w:t>
      </w:r>
    </w:p>
    <w:p>
      <w:pPr>
        <w:spacing w:after="8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246"/>
        <w:gridCol w:w="2000"/>
        <w:gridCol w:w="2000"/>
      </w:tblGrid>
      <w:tr>
        <w:trPr>
          <w:tblHeader/>
        </w:trPr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22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Fichiers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Utilité RAG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01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Procedures Internes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Business plans, roadmaps, admin</w:t>
            </w:r>
          </w:p>
        </w:tc>
        <w:tc>
          <w:tcPr>
            <w:tcW w:type="dxa" w:w="2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Plans stratégiques, guides admin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60 fichiers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Questions internes, processus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02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D7D6B"/>
                <w:sz w:val="20"/>
                <w:szCs w:val="20"/>
              </w:rPr>
              <w:t xml:space="preserve">Reglementation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RGPD, veille UEMOA/BCEAO</w:t>
            </w:r>
          </w:p>
        </w:tc>
        <w:tc>
          <w:tcPr>
            <w:tcW w:type="dxa" w:w="2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Cadre légal, conformité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6 fichiers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Conformité, audits réglementaires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03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Guides &amp; Formations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Catalogues, kits, mini-guides</w:t>
            </w:r>
          </w:p>
        </w:tc>
        <w:tc>
          <w:tcPr>
            <w:tcW w:type="dxa" w:w="2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Formation IA, méthodologies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162 fichiers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Questions formation, pédagogie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04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Workflows Automatisation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Guides n8n, Supabase, Chatwoot</w:t>
            </w:r>
          </w:p>
        </w:tc>
        <w:tc>
          <w:tcPr>
            <w:tcW w:type="dxa" w:w="2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Documentation technique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76 fichiers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Support technique, débogage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05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0D7D6B"/>
                <w:sz w:val="20"/>
                <w:szCs w:val="20"/>
              </w:rPr>
              <w:t xml:space="preserve">Prospection &amp; CRM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Pipelines, OpenClaw, CRM</w:t>
            </w:r>
          </w:p>
        </w:tc>
        <w:tc>
          <w:tcPr>
            <w:tcW w:type="dxa" w:w="2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Outils commerciaux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82 fichiers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Questions commerciales, clients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06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Decks Sectoriels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21 secteurs : Banque, Telecom, Santé...</w:t>
            </w:r>
          </w:p>
        </w:tc>
        <w:tc>
          <w:tcPr>
            <w:tcW w:type="dxa" w:w="2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Pitch decks, analyses secteur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97 fichiers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Questions secteur, use cases IA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07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Knowledge Base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FAQ, KB complète, chatbot</w:t>
            </w:r>
          </w:p>
        </w:tc>
        <w:tc>
          <w:tcPr>
            <w:tcW w:type="dxa" w:w="2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Base de connaissance générale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14 fichiers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Questions générales TransferAI</w:t>
            </w:r>
          </w:p>
        </w:tc>
      </w:tr>
    </w:tbl>
    <w:p>
      <w:pPr>
        <w:spacing w:after="80" w:before="1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F6E"/>
          <w:sz w:val="26"/>
          <w:szCs w:val="26"/>
        </w:rPr>
        <w:t xml:space="preserve">2.3  La Transformation : Avant / Après</w:t>
      </w:r>
    </w:p>
    <w:p>
      <w:pPr>
        <w:spacing w:after="8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60"/>
        <w:gridCol w:w="4786"/>
      </w:tblGrid>
      <w:tr>
        <w:tc>
          <w:tcPr>
            <w:tcW w:type="dxa" w:w="4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392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 le RAG</w:t>
            </w:r>
          </w:p>
        </w:tc>
        <w:tc>
          <w:tcPr>
            <w:tcW w:type="dxa" w:w="1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478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7D6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APRES le RAG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thick" w:color="C0392B" w:sz="12"/>
              <w:bottom w:val="single" w:color="DDDDDD" w:sz="1"/>
              <w:right w:val="none"/>
            </w:tcBorders>
            <w:shd w:fill="FEE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880000"/>
                <w:sz w:val="20"/>
                <w:szCs w:val="20"/>
              </w:rPr>
              <w:t xml:space="preserve">Chercher dans des emails et drives disparates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880000"/>
                <w:sz w:val="20"/>
                <w:szCs w:val="20"/>
              </w:rPr>
              <w:t xml:space="preserve">30 min perdues en moyenne par recherche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880000"/>
                <w:sz w:val="20"/>
                <w:szCs w:val="20"/>
              </w:rPr>
              <w:t xml:space="preserve">Informations souvent obsolètes ou incomplètes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880000"/>
                <w:sz w:val="20"/>
                <w:szCs w:val="20"/>
              </w:rPr>
              <w:t xml:space="preserve">Impossible de savoir d'où vient l'information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880000"/>
                <w:sz w:val="20"/>
                <w:szCs w:val="20"/>
              </w:rPr>
              <w:t xml:space="preserve">Charge mentale élevée pour les consultants</w:t>
            </w:r>
          </w:p>
        </w:tc>
        <w:tc>
          <w:tcPr>
            <w:tcW w:type="dxa" w:w="1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4786"/>
            <w:tcBorders>
              <w:top w:val="single" w:color="DDDDDD" w:sz="1"/>
              <w:left w:val="thick" w:color="0D7D6B" w:sz="12"/>
              <w:bottom w:val="single" w:color="DDDDDD" w:sz="1"/>
              <w:right w:val="none"/>
            </w:tcBorders>
            <w:shd w:fill="D5F0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5544"/>
                <w:sz w:val="20"/>
                <w:szCs w:val="20"/>
              </w:rPr>
              <w:t xml:space="preserve">Une question en langage naturel, une réponse en 3 sec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5544"/>
                <w:sz w:val="20"/>
                <w:szCs w:val="20"/>
              </w:rPr>
              <w:t xml:space="preserve">2h/jour récupérées par consultant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5544"/>
                <w:sz w:val="20"/>
                <w:szCs w:val="20"/>
              </w:rPr>
              <w:t xml:space="preserve">Base synchronisée toutes les 6 heures automatiquement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5544"/>
                <w:sz w:val="20"/>
                <w:szCs w:val="20"/>
              </w:rPr>
              <w:t xml:space="preserve">Sources citées avec liens vers les documents originaux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005544"/>
                <w:sz w:val="20"/>
                <w:szCs w:val="20"/>
              </w:rPr>
              <w:t xml:space="preserve">Consultants focusés sur la valeur, pas la recherche</w:t>
            </w:r>
          </w:p>
        </w:tc>
      </w:tr>
    </w:tbl>
    <w:p>
      <w:pPr>
        <w:spacing w:after="8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bookmarkStart w:name="part3" w:id="3"/>
      <w:r>
        <w:rPr>
          <w:rFonts w:ascii="Arial" w:cs="Arial" w:eastAsia="Arial" w:hAnsi="Arial"/>
          <w:b/>
          <w:bCs/>
          <w:color w:val="1B3F6E"/>
          <w:sz w:val="34"/>
          <w:szCs w:val="34"/>
        </w:rPr>
        <w:t xml:space="preserve">PARTIE 3 — Guide Utilisateur : Comment Poser les Bonnes Questions</w:t>
      </w:r>
      <w:bookmarkEnd w:id="3"/>
    </w:p>
    <w:p>
      <w:pPr>
        <w:pBdr>
          <w:bottom w:val="single" w:color="1B3F6E" w:sz="10" w:space="1"/>
        </w:pBd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F6E"/>
          <w:sz w:val="26"/>
          <w:szCs w:val="26"/>
        </w:rPr>
        <w:t xml:space="preserve">3.1  Accéder au Système RAG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système RAG TransferAI est accessible via trois canaux (mis à jour le 08 juillet 2026 : ajout de l’interface web) :</w:t>
      </w:r>
    </w:p>
    <w:p>
      <w:pPr>
        <w:spacing w:after="6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946"/>
      </w:tblGrid>
      <w:tr>
        <w:trPr>
          <w:tblHeader/>
        </w:trPr>
        <w:tc>
          <w:tcPr>
            <w:tcW w:type="dxa" w:w="4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 d'accès</w:t>
            </w:r>
          </w:p>
        </w:tc>
        <w:tc>
          <w:tcPr>
            <w:tcW w:type="dxa" w:w="49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 l'utiliser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B3F6E"/>
                <w:sz w:val="22"/>
                <w:szCs w:val="22"/>
              </w:rPr>
              <w:t xml:space="preserve">Chatwoot (Interface principale)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7D6B"/>
                <w:sz w:val="20"/>
                <w:szCs w:val="20"/>
              </w:rPr>
              <w:t xml:space="preserve">app.chatwoot.com — Compte 163278</w:t>
            </w:r>
          </w:p>
        </w:tc>
        <w:tc>
          <w:tcPr>
            <w:tcW w:type="dxa" w:w="4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Ouvrez une conversation, tapez votre question en français ou anglais, envoyez. La réponse arrive en 3-8 secondes avec les sources.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0D7D6B"/>
                <w:sz w:val="22"/>
                <w:szCs w:val="22"/>
              </w:rPr>
              <w:t xml:space="preserve">Interface Web (nouveau — 08/07/2026)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7D6B"/>
                <w:sz w:val="18"/>
                <w:szCs w:val="18"/>
              </w:rPr>
              <w:t xml:space="preserve">www.transferai.ci/demo/recherche-documentaire</w:t>
            </w:r>
          </w:p>
        </w:tc>
        <w:tc>
          <w:tcPr>
            <w:tcW w:type="dxa" w:w="4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Ouvrez la page dans un navigateur, tapez votre question, cliquez sur “Lancer la recherche”. Aucune compétence technique requise — le point d’entrée le plus simple pour un collègue qui ne connaît ni Chatwoot ni les API.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API Webhook (Intégration)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POST /webhook/recherche-documentaire (externe) ou /webhook/recherche-documentaire-interne (interne)</w:t>
            </w:r>
          </w:p>
        </w:tc>
        <w:tc>
          <w:tcPr>
            <w:tcW w:type="dxa" w:w="49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Pour les développeurs : envoyez une requête JSON avec question, utilisateur et session_id. Le endpoint “externe” (workflow Recherche_Documentaire_RAG_v4_complet) anonymise les données et escalade vers Chatwoot si aucune réponse fiable n’est trouvée ; le endpoint “interne” (workflow Recherche_Documentaire_RAG) est plus simple, réservé à l’équipe.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F6E"/>
          <w:sz w:val="26"/>
          <w:szCs w:val="26"/>
        </w:rPr>
        <w:t xml:space="preserve">3.2  Exemples de Questions — Cas d'Usage Réels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Voici des exemples concrets basés sur la base documentaire TransferAI. Ces questions ont été testées et retournent des réponses précises avec sources :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7D6B"/>
          <w:sz w:val="23"/>
          <w:szCs w:val="23"/>
        </w:rPr>
        <w:t xml:space="preserve">Procédures &amp; Administration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4466"/>
        <w:gridCol w:w="5000"/>
      </w:tblGrid>
      <w:tr>
        <w:trPr>
          <w:tblHeader/>
        </w:trPr>
        <w:tc>
          <w:tcPr>
            <w:tcW w:type="dxa" w:w="2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46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posée au RAG</w:t>
            </w:r>
          </w:p>
        </w:tc>
        <w:tc>
          <w:tcPr>
            <w:tcW w:type="dxa" w:w="5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réponse attendue</w:t>
            </w:r>
          </w:p>
        </w:tc>
      </w:tr>
      <w:tr>
        <w:tc>
          <w:tcPr>
            <w:tcW w:type="dxa" w:w="280"/>
            <w:tcBorders>
              <w:top w:val="single" w:color="FFFFFF" w:sz="1"/>
              <w:left w:val="none"/>
              <w:bottom w:val="single" w:color="FFFFFF" w:sz="1"/>
              <w:right w:val="none"/>
            </w:tcBorders>
            <w:shd w:fill="1B3F6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</w:t>
            </w:r>
          </w:p>
        </w:tc>
        <w:tc>
          <w:tcPr>
            <w:tcW w:type="dxa" w:w="4466"/>
            <w:tcBorders>
              <w:top w:val="single" w:color="DDDDDD" w:sz="1"/>
              <w:left w:val="none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B3F6E"/>
                <w:sz w:val="20"/>
                <w:szCs w:val="20"/>
              </w:rPr>
              <w:t xml:space="preserve">Quelles sont les étapes du processus d'audit IA pour un client Banque ?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none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Liste structurée des 7 étapes d'audit, avec les responsables et les livrables de chaque phase</w:t>
            </w:r>
          </w:p>
        </w:tc>
      </w:tr>
      <w:tr>
        <w:tc>
          <w:tcPr>
            <w:tcW w:type="dxa" w:w="280"/>
            <w:tcBorders>
              <w:top w:val="single" w:color="FFFFFF" w:sz="1"/>
              <w:left w:val="none"/>
              <w:bottom w:val="single" w:color="FFFFFF" w:sz="1"/>
              <w:right w:val="none"/>
            </w:tcBorders>
            <w:shd w:fill="0D7D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</w:t>
            </w:r>
          </w:p>
        </w:tc>
        <w:tc>
          <w:tcPr>
            <w:tcW w:type="dxa" w:w="4466"/>
            <w:tcBorders>
              <w:top w:val="single" w:color="DDDDDD" w:sz="1"/>
              <w:left w:val="none"/>
              <w:bottom w:val="single" w:color="DDDDDD" w:sz="1"/>
              <w:right w:val="single" w:color="DDDDDD" w:sz="1"/>
            </w:tcBorders>
            <w:shd w:fill="D5F0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B3F6E"/>
                <w:sz w:val="20"/>
                <w:szCs w:val="20"/>
              </w:rPr>
              <w:t xml:space="preserve">Quel est le business plan de TransferAI pour le Q3 2026 ?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none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Résumé des objectifs commerciaux, cibles de revenus, marchés prioritaires avec source citée</w:t>
            </w:r>
          </w:p>
        </w:tc>
      </w:tr>
      <w:tr>
        <w:tc>
          <w:tcPr>
            <w:tcW w:type="dxa" w:w="280"/>
            <w:tcBorders>
              <w:top w:val="single" w:color="FFFFFF" w:sz="1"/>
              <w:left w:val="none"/>
              <w:bottom w:val="single" w:color="FFFFFF" w:sz="1"/>
              <w:right w:val="none"/>
            </w:tcBorders>
            <w:shd w:fill="1B3F6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</w:t>
            </w:r>
          </w:p>
        </w:tc>
        <w:tc>
          <w:tcPr>
            <w:tcW w:type="dxa" w:w="4466"/>
            <w:tcBorders>
              <w:top w:val="single" w:color="DDDDDD" w:sz="1"/>
              <w:left w:val="none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B3F6E"/>
                <w:sz w:val="20"/>
                <w:szCs w:val="20"/>
              </w:rPr>
              <w:t xml:space="preserve">Qui contacter pour les questions de facturation partenaires ?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none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Nom, email et procédure de contact issus du guide administrateur système</w:t>
            </w:r>
          </w:p>
        </w:tc>
      </w:tr>
    </w:tbl>
    <w:p>
      <w:pPr>
        <w:spacing w:after="80" w:before="14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7D6B"/>
          <w:sz w:val="23"/>
          <w:szCs w:val="23"/>
        </w:rPr>
        <w:t xml:space="preserve">Réglementation &amp; Conformité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4466"/>
        <w:gridCol w:w="5000"/>
      </w:tblGrid>
      <w:tr>
        <w:trPr>
          <w:tblHeader/>
        </w:trPr>
        <w:tc>
          <w:tcPr>
            <w:tcW w:type="dxa" w:w="2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7D6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46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7D6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posée au RAG</w:t>
            </w:r>
          </w:p>
        </w:tc>
        <w:tc>
          <w:tcPr>
            <w:tcW w:type="dxa" w:w="5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7D6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réponse attendue</w:t>
            </w:r>
          </w:p>
        </w:tc>
      </w:tr>
      <w:tr>
        <w:tc>
          <w:tcPr>
            <w:tcW w:type="dxa" w:w="280"/>
            <w:tcBorders>
              <w:top w:val="single" w:color="FFFFFF" w:sz="1"/>
              <w:left w:val="none"/>
              <w:bottom w:val="single" w:color="FFFFFF" w:sz="1"/>
              <w:right w:val="none"/>
            </w:tcBorders>
            <w:shd w:fill="0D7D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</w:t>
            </w:r>
          </w:p>
        </w:tc>
        <w:tc>
          <w:tcPr>
            <w:tcW w:type="dxa" w:w="4466"/>
            <w:tcBorders>
              <w:top w:val="single" w:color="DDDDDD" w:sz="1"/>
              <w:left w:val="none"/>
              <w:bottom w:val="single" w:color="DDDDDD" w:sz="1"/>
              <w:right w:val="single" w:color="DDDDDD" w:sz="1"/>
            </w:tcBorders>
            <w:shd w:fill="D5F0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0D7D6B"/>
                <w:sz w:val="20"/>
                <w:szCs w:val="20"/>
              </w:rPr>
              <w:t xml:space="preserve">Quelles sont les obligations RGPD pour une fintech en Côte d'Ivoire ?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none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Liste des 8 obligations clés avec références légales et recommandations de mise en conformité</w:t>
            </w:r>
          </w:p>
        </w:tc>
      </w:tr>
      <w:tr>
        <w:tc>
          <w:tcPr>
            <w:tcW w:type="dxa" w:w="280"/>
            <w:tcBorders>
              <w:top w:val="single" w:color="FFFFFF" w:sz="1"/>
              <w:left w:val="none"/>
              <w:bottom w:val="single" w:color="FFFFFF" w:sz="1"/>
              <w:right w:val="none"/>
            </w:tcBorders>
            <w:shd w:fill="1B3F6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</w:t>
            </w:r>
          </w:p>
        </w:tc>
        <w:tc>
          <w:tcPr>
            <w:tcW w:type="dxa" w:w="4466"/>
            <w:tcBorders>
              <w:top w:val="single" w:color="DDDDDD" w:sz="1"/>
              <w:left w:val="none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0D7D6B"/>
                <w:sz w:val="20"/>
                <w:szCs w:val="20"/>
              </w:rPr>
              <w:t xml:space="preserve">Quelles sont les dernières alertes réglementaires BCEAO sur les crypto-actifs ?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none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Résumé des décisions BCEAO 2026, textes de référence, impacts sur les fintechs UEMOA</w:t>
            </w:r>
          </w:p>
        </w:tc>
      </w:tr>
    </w:tbl>
    <w:p>
      <w:pPr>
        <w:spacing w:after="80" w:before="14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D7D6B"/>
          <w:sz w:val="23"/>
          <w:szCs w:val="23"/>
        </w:rPr>
        <w:t xml:space="preserve">Decks Sectoriels &amp; Approche Commerciale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4466"/>
        <w:gridCol w:w="5000"/>
      </w:tblGrid>
      <w:tr>
        <w:trPr>
          <w:tblHeader/>
        </w:trPr>
        <w:tc>
          <w:tcPr>
            <w:tcW w:type="dxa" w:w="2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A0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46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A0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posée au RAG</w:t>
            </w:r>
          </w:p>
        </w:tc>
        <w:tc>
          <w:tcPr>
            <w:tcW w:type="dxa" w:w="5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A0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réponse attendue</w:t>
            </w:r>
          </w:p>
        </w:tc>
      </w:tr>
      <w:tr>
        <w:tc>
          <w:tcPr>
            <w:tcW w:type="dxa" w:w="280"/>
            <w:tcBorders>
              <w:top w:val="single" w:color="FFFFFF" w:sz="1"/>
              <w:left w:val="none"/>
              <w:bottom w:val="single" w:color="FFFFFF" w:sz="1"/>
              <w:right w:val="none"/>
            </w:tcBorders>
            <w:shd w:fill="E8A0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</w:t>
            </w:r>
          </w:p>
        </w:tc>
        <w:tc>
          <w:tcPr>
            <w:tcW w:type="dxa" w:w="4466"/>
            <w:tcBorders>
              <w:top w:val="single" w:color="DDDDDD" w:sz="1"/>
              <w:left w:val="none"/>
              <w:bottom w:val="single" w:color="DDDDDD" w:sz="1"/>
              <w:right w:val="single" w:color="DDDDDD" w:sz="1"/>
            </w:tcBorders>
            <w:shd w:fill="FE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774400"/>
                <w:sz w:val="20"/>
                <w:szCs w:val="20"/>
              </w:rPr>
              <w:t xml:space="preserve">Quels sont les cas d'usage IA dans le secteur Banque en Afrique de l'Ouest ?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none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Synthèse des 5 principaux use cases avec ROI estimé, exemples de banques pionnières</w:t>
            </w:r>
          </w:p>
        </w:tc>
      </w:tr>
      <w:tr>
        <w:tc>
          <w:tcPr>
            <w:tcW w:type="dxa" w:w="280"/>
            <w:tcBorders>
              <w:top w:val="single" w:color="FFFFFF" w:sz="1"/>
              <w:left w:val="none"/>
              <w:bottom w:val="single" w:color="FFFFFF" w:sz="1"/>
              <w:right w:val="none"/>
            </w:tcBorders>
            <w:shd w:fill="E8A0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</w:t>
            </w:r>
          </w:p>
        </w:tc>
        <w:tc>
          <w:tcPr>
            <w:tcW w:type="dxa" w:w="4466"/>
            <w:tcBorders>
              <w:top w:val="single" w:color="DDDDDD" w:sz="1"/>
              <w:left w:val="none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774400"/>
                <w:sz w:val="20"/>
                <w:szCs w:val="20"/>
              </w:rPr>
              <w:t xml:space="preserve">Comment présenter TransferAI à un directeur d'hôpital au Sénégal ?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none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Argumentaire adapté santé : détection prédictive, automatisation admin, avec chiffres clés</w:t>
            </w:r>
          </w:p>
        </w:tc>
      </w:tr>
      <w:tr>
        <w:tc>
          <w:tcPr>
            <w:tcW w:type="dxa" w:w="280"/>
            <w:tcBorders>
              <w:top w:val="single" w:color="FFFFFF" w:sz="1"/>
              <w:left w:val="none"/>
              <w:bottom w:val="single" w:color="FFFFFF" w:sz="1"/>
              <w:right w:val="none"/>
            </w:tcBorders>
            <w:shd w:fill="E8A0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</w:t>
            </w:r>
          </w:p>
        </w:tc>
        <w:tc>
          <w:tcPr>
            <w:tcW w:type="dxa" w:w="4466"/>
            <w:tcBorders>
              <w:top w:val="single" w:color="DDDDDD" w:sz="1"/>
              <w:left w:val="none"/>
              <w:bottom w:val="single" w:color="DDDDDD" w:sz="1"/>
              <w:right w:val="single" w:color="DDDDDD" w:sz="1"/>
            </w:tcBorders>
            <w:shd w:fill="FE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774400"/>
                <w:sz w:val="20"/>
                <w:szCs w:val="20"/>
              </w:rPr>
              <w:t xml:space="preserve">Quelle est notre proposition de valeur pour Orange Côte d'Ivoire ?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none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Résumé du deck Orange CI : solutions proposées, modèle tarifaire, prochaines étapes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F6E"/>
          <w:sz w:val="26"/>
          <w:szCs w:val="26"/>
        </w:rPr>
        <w:t xml:space="preserve">3.3  Bonnes Pratiques — Formuler une Bonne Question</w:t>
      </w:r>
    </w:p>
    <w:p>
      <w:pPr>
        <w:spacing w:after="8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"/>
        <w:gridCol w:w="5042"/>
      </w:tblGrid>
      <w:tr>
        <w:trPr>
          <w:tblHeader/>
        </w:trPr>
        <w:tc>
          <w:tcPr>
            <w:tcW w:type="dxa" w:w="4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392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 peu efficaces</w:t>
            </w:r>
          </w:p>
        </w:tc>
        <w:tc>
          <w:tcPr>
            <w:tcW w:type="dxa" w:w="4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04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7D6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 très efficaces</w:t>
            </w:r>
          </w:p>
        </w:tc>
      </w:tr>
      <w:tr>
        <w:tc>
          <w:tcPr>
            <w:tcW w:type="dxa" w:w="4700"/>
            <w:tcBorders>
              <w:top w:val="single" w:color="FFCCCC" w:sz="1"/>
              <w:left w:val="single" w:color="FFCCCC" w:sz="1"/>
              <w:bottom w:val="single" w:color="FFCCCC" w:sz="1"/>
              <w:right w:val="none"/>
            </w:tcBorders>
            <w:shd w:fill="FE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✗  Parle-moi de la banque</w:t>
            </w:r>
          </w:p>
        </w:tc>
        <w:tc>
          <w:tcPr>
            <w:tcW w:type="dxa" w:w="4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5042"/>
            <w:tcBorders>
              <w:top w:val="single" w:color="AADDCC" w:sz="1"/>
              <w:left w:val="none"/>
              <w:bottom w:val="single" w:color="AADDCC" w:sz="1"/>
              <w:right w:val="single" w:color="AADDCC" w:sz="1"/>
            </w:tcBorders>
            <w:shd w:fill="D5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7D6B"/>
                <w:sz w:val="20"/>
                <w:szCs w:val="20"/>
              </w:rPr>
              <w:t xml:space="preserve">✓  Quels sont les 3 principaux cas d'usage IA dans les banques africaines selon nos decks ?</w:t>
            </w:r>
          </w:p>
        </w:tc>
      </w:tr>
      <w:tr>
        <w:tc>
          <w:tcPr>
            <w:tcW w:type="dxa" w:w="4700"/>
            <w:tcBorders>
              <w:top w:val="single" w:color="FFCCCC" w:sz="1"/>
              <w:left w:val="single" w:color="FFCCCC" w:sz="1"/>
              <w:bottom w:val="single" w:color="FFCCCC" w:sz="1"/>
              <w:right w:val="none"/>
            </w:tcBorders>
            <w:shd w:fill="FE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✗  Réglementation</w:t>
            </w:r>
          </w:p>
        </w:tc>
        <w:tc>
          <w:tcPr>
            <w:tcW w:type="dxa" w:w="4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5042"/>
            <w:tcBorders>
              <w:top w:val="single" w:color="AADDCC" w:sz="1"/>
              <w:left w:val="none"/>
              <w:bottom w:val="single" w:color="AADDCC" w:sz="1"/>
              <w:right w:val="single" w:color="AADDCC" w:sz="1"/>
            </w:tcBorders>
            <w:shd w:fill="D5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7D6B"/>
                <w:sz w:val="20"/>
                <w:szCs w:val="20"/>
              </w:rPr>
              <w:t xml:space="preserve">✓  Quelles sont les obligations légales pour une fintech en Côte d'Ivoire en 2026 ?</w:t>
            </w:r>
          </w:p>
        </w:tc>
      </w:tr>
      <w:tr>
        <w:tc>
          <w:tcPr>
            <w:tcW w:type="dxa" w:w="4700"/>
            <w:tcBorders>
              <w:top w:val="single" w:color="FFCCCC" w:sz="1"/>
              <w:left w:val="single" w:color="FFCCCC" w:sz="1"/>
              <w:bottom w:val="single" w:color="FFCCCC" w:sz="1"/>
              <w:right w:val="none"/>
            </w:tcBorders>
            <w:shd w:fill="FE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✗  Comment on fait l'audit ?</w:t>
            </w:r>
          </w:p>
        </w:tc>
        <w:tc>
          <w:tcPr>
            <w:tcW w:type="dxa" w:w="4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5042"/>
            <w:tcBorders>
              <w:top w:val="single" w:color="AADDCC" w:sz="1"/>
              <w:left w:val="none"/>
              <w:bottom w:val="single" w:color="AADDCC" w:sz="1"/>
              <w:right w:val="single" w:color="AADDCC" w:sz="1"/>
            </w:tcBorders>
            <w:shd w:fill="D5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7D6B"/>
                <w:sz w:val="20"/>
                <w:szCs w:val="20"/>
              </w:rPr>
              <w:t xml:space="preserve">✓  Quelles sont les étapes de l'audit IA de TransferAI pour un client industrie manufacturière ?</w:t>
            </w:r>
          </w:p>
        </w:tc>
      </w:tr>
      <w:tr>
        <w:tc>
          <w:tcPr>
            <w:tcW w:type="dxa" w:w="4700"/>
            <w:tcBorders>
              <w:top w:val="single" w:color="FFCCCC" w:sz="1"/>
              <w:left w:val="single" w:color="FFCCCC" w:sz="1"/>
              <w:bottom w:val="single" w:color="FFCCCC" w:sz="1"/>
              <w:right w:val="none"/>
            </w:tcBorders>
            <w:shd w:fill="FE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✗  Donne-moi des infos</w:t>
            </w:r>
          </w:p>
        </w:tc>
        <w:tc>
          <w:tcPr>
            <w:tcW w:type="dxa" w:w="4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5042"/>
            <w:tcBorders>
              <w:top w:val="single" w:color="AADDCC" w:sz="1"/>
              <w:left w:val="none"/>
              <w:bottom w:val="single" w:color="AADDCC" w:sz="1"/>
              <w:right w:val="single" w:color="AADDCC" w:sz="1"/>
            </w:tcBorders>
            <w:shd w:fill="D5F0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7D6B"/>
                <w:sz w:val="20"/>
                <w:szCs w:val="20"/>
              </w:rPr>
              <w:t xml:space="preserve">✓  Quel est le modèle de tarification de TransferAI pour les entreprises de plus de 500 employés ?</w:t>
            </w:r>
          </w:p>
        </w:tc>
      </w:tr>
    </w:tbl>
    <w:p>
      <w:pPr>
        <w:spacing w:after="8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bookmarkStart w:name="part4" w:id="4"/>
      <w:r>
        <w:rPr>
          <w:rFonts w:ascii="Arial" w:cs="Arial" w:eastAsia="Arial" w:hAnsi="Arial"/>
          <w:b/>
          <w:bCs/>
          <w:color w:val="1B3F6E"/>
          <w:sz w:val="34"/>
          <w:szCs w:val="34"/>
        </w:rPr>
        <w:t xml:space="preserve">PARTIE 4 — Guide de Dépannage</w:t>
      </w:r>
      <w:bookmarkEnd w:id="4"/>
    </w:p>
    <w:p>
      <w:pPr>
        <w:pBdr>
          <w:bottom w:val="single" w:color="C0392B" w:sz="10" w:space="1"/>
        </w:pBd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 guide couvre les problèmes les plus fréquents. Pour chaque problème, nous indiquons la sévérité, la cause probable et les actions correctives.</w:t>
      </w:r>
    </w:p>
    <w:p>
      <w:pPr>
        <w:spacing w:after="8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2"/>
        <w:gridCol w:w="3082"/>
        <w:gridCol w:w="3582"/>
      </w:tblGrid>
      <w:tr>
        <w:tc>
          <w:tcPr>
            <w:tcW w:type="dxa" w:w="3082"/>
            <w:tcBorders>
              <w:top w:val="single" w:color="AADDCC" w:sz="1"/>
              <w:left w:val="single" w:color="AADDCC" w:sz="1"/>
              <w:bottom w:val="single" w:color="AADDCC" w:sz="1"/>
              <w:right w:val="single" w:color="AADDCC" w:sz="1"/>
            </w:tcBorders>
            <w:shd w:fill="D5F0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D6B"/>
                <w:sz w:val="19"/>
                <w:szCs w:val="19"/>
              </w:rPr>
              <w:t xml:space="preserve">🟢  FAIBLE — Gêne mineure, solution rapide</w:t>
            </w:r>
          </w:p>
        </w:tc>
        <w:tc>
          <w:tcPr>
            <w:tcW w:type="dxa" w:w="3082"/>
            <w:tcBorders>
              <w:top w:val="single" w:color="FFDDAA" w:sz="1"/>
              <w:left w:val="single" w:color="FFDDAA" w:sz="1"/>
              <w:bottom w:val="single" w:color="FFDDAA" w:sz="1"/>
              <w:right w:val="single" w:color="FFDDAA" w:sz="1"/>
            </w:tcBorders>
            <w:shd w:fill="FE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8A020"/>
                <w:sz w:val="19"/>
                <w:szCs w:val="19"/>
              </w:rPr>
              <w:t xml:space="preserve">🟡  MOYEN — Impact partiel sur l'usage</w:t>
            </w:r>
          </w:p>
        </w:tc>
        <w:tc>
          <w:tcPr>
            <w:tcW w:type="dxa" w:w="3582"/>
            <w:tcBorders>
              <w:top w:val="single" w:color="FFAAAA" w:sz="1"/>
              <w:left w:val="single" w:color="FFAAAA" w:sz="1"/>
              <w:bottom w:val="single" w:color="FFAAAA" w:sz="1"/>
              <w:right w:val="single" w:color="FFAAAA" w:sz="1"/>
            </w:tcBorders>
            <w:shd w:fill="FE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🔴  ELEVÉ — Système partiellement ou totalement arrêté</w:t>
            </w:r>
          </w:p>
        </w:tc>
      </w:tr>
    </w:tbl>
    <w:p>
      <w:pPr>
        <w:spacing w:after="60" w:before="1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thick" w:color="0D7D6B" w:sz="12"/>
              <w:left w:val="thick" w:color="0D7D6B" w:sz="24"/>
              <w:bottom w:val="single" w:color="0D7D6B" w:sz="4"/>
              <w:right w:val="single" w:color="0D7D6B" w:sz="4"/>
            </w:tcBorders>
            <w:shd w:fill="D5F0E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D7D6B"/>
                <w:sz w:val="24"/>
                <w:szCs w:val="24"/>
              </w:rPr>
              <w:t xml:space="preserve">P1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🟢  FAIBLE  </w:t>
            </w:r>
            <w:r>
              <w:rPr>
                <w:rFonts w:ascii="Arial" w:cs="Arial" w:eastAsia="Arial" w:hAnsi="Arial"/>
                <w:b/>
                <w:bCs/>
                <w:color w:val="1B3F6E"/>
                <w:sz w:val="24"/>
                <w:szCs w:val="24"/>
              </w:rPr>
              <w:t xml:space="preserve">  Les réponses sont vagues ou trop génériques</w:t>
            </w:r>
          </w:p>
        </w:tc>
      </w:tr>
      <w:tr>
        <w:tc>
          <w:tcPr>
            <w:tcW w:type="dxa" w:w="9746"/>
            <w:tcBorders>
              <w:top w:val="none"/>
              <w:left w:val="thick" w:color="0D7D6B" w:sz="24"/>
              <w:bottom w:val="none"/>
              <w:right w:val="single" w:color="DDDDDD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Symptômes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 réponse est correcte mais manque de détails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L'IA répond de façon générale sans citer de source TransferAI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 réponse ressemble à une réponse ChatGPT standard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Causes probables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 question est trop vague (voir § 3.3)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 document contenant la réponse n'est pas encore indexé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 chunk pertinent est trop dilué dans la base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D7D6B"/>
                <w:sz w:val="20"/>
                <w:szCs w:val="20"/>
              </w:rPr>
              <w:t xml:space="preserve">Actions correctives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Reformulez avec des mots-clés précis issus des titres de vos documents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Ajoutez le contexte : secteur, client, date, document spécifique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Vérifiez que le document est bien dans le Drive (dossiers 01 à 07)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Si le doc est nouveau : attendez le prochain cycle d'ingestion (toutes les 6h) ou forcez manuellement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thick" w:color="0D7D6B" w:sz="12"/>
              <w:left w:val="thick" w:color="0D7D6B" w:sz="24"/>
              <w:bottom w:val="single" w:color="0D7D6B" w:sz="4"/>
              <w:right w:val="single" w:color="0D7D6B" w:sz="4"/>
            </w:tcBorders>
            <w:shd w:fill="D5F0E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D7D6B"/>
                <w:sz w:val="24"/>
                <w:szCs w:val="24"/>
              </w:rPr>
              <w:t xml:space="preserve">P2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🟢  FAIBLE  </w:t>
            </w:r>
            <w:r>
              <w:rPr>
                <w:rFonts w:ascii="Arial" w:cs="Arial" w:eastAsia="Arial" w:hAnsi="Arial"/>
                <w:b/>
                <w:bCs/>
                <w:color w:val="1B3F6E"/>
                <w:sz w:val="24"/>
                <w:szCs w:val="24"/>
              </w:rPr>
              <w:t xml:space="preserve">  La réponse prend plus de 15 secondes</w:t>
            </w:r>
          </w:p>
        </w:tc>
      </w:tr>
      <w:tr>
        <w:tc>
          <w:tcPr>
            <w:tcW w:type="dxa" w:w="9746"/>
            <w:tcBorders>
              <w:top w:val="none"/>
              <w:left w:val="thick" w:color="0D7D6B" w:sz="24"/>
              <w:bottom w:val="none"/>
              <w:right w:val="single" w:color="DDDDDD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Symptômes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Attente anormalement longue avant la réponse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Timeout côté Chatwoot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Causes probables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Surcharge momentanée de l'API OpenAI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Latence réseau entre le serveur n8n et Supabase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0D7D6B"/>
                <w:sz w:val="20"/>
                <w:szCs w:val="20"/>
              </w:rPr>
              <w:t xml:space="preserve">Actions correctives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Réessayez la même question — la plupart du temps ça passe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Si le problème persiste &gt; 3 essais : vérifiez le statut OpenAI sur status.openai.com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Vérifiez que le workflow RAG est bien en mode Published dans n8n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thick" w:color="E8A020" w:sz="12"/>
              <w:left w:val="thick" w:color="E8A020" w:sz="24"/>
              <w:bottom w:val="single" w:color="E8A020" w:sz="4"/>
              <w:right w:val="single" w:color="E8A020" w:sz="4"/>
            </w:tcBorders>
            <w:shd w:fill="FEF3D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E8A020"/>
                <w:sz w:val="24"/>
                <w:szCs w:val="24"/>
              </w:rPr>
              <w:t xml:space="preserve">P3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🟡  MOYEN  </w:t>
            </w:r>
            <w:r>
              <w:rPr>
                <w:rFonts w:ascii="Arial" w:cs="Arial" w:eastAsia="Arial" w:hAnsi="Arial"/>
                <w:b/>
                <w:bCs/>
                <w:color w:val="1B3F6E"/>
                <w:sz w:val="24"/>
                <w:szCs w:val="24"/>
              </w:rPr>
              <w:t xml:space="preserve">  Aucune source n'est citée dans la réponse</w:t>
            </w:r>
          </w:p>
        </w:tc>
      </w:tr>
      <w:tr>
        <w:tc>
          <w:tcPr>
            <w:tcW w:type="dxa" w:w="9746"/>
            <w:tcBorders>
              <w:top w:val="none"/>
              <w:left w:val="thick" w:color="E8A020" w:sz="24"/>
              <w:bottom w:val="none"/>
              <w:right w:val="single" w:color="DDDDDD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Symptômes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 réponse ne mentionne aucun document source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Absence de références dans la section 'Sources utilisées'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Causes probables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 base de données documents est vide ou trop récente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 similarité vectorielle est inférieure au seuil (0.2 est la valeur validée en production depuis juillet 2026 sur les 3 workflows RAG ; un seuil comme 0.7 est presque toujours trop strict et exclut des documents pertinents)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 node 'Recherche Supabase Vector' a échoué silencieusement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Actions correctives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Vérifiez le compte Supabase : table 'documents' doit avoir &gt; 0 lignes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Réduisez le seuil de similarité à 0.2 (valeur validée en production) dans le node Recherche Supabase Vector — champ match_threshold du corps JSON envoyé à match_documents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Relancez manuellement le workflow d'ingestion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Testez avec une question très précise reprenant un titre exact de document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thick" w:color="E8A020" w:sz="12"/>
              <w:left w:val="thick" w:color="E8A020" w:sz="24"/>
              <w:bottom w:val="single" w:color="E8A020" w:sz="4"/>
              <w:right w:val="single" w:color="E8A020" w:sz="4"/>
            </w:tcBorders>
            <w:shd w:fill="FEF3D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E8A020"/>
                <w:sz w:val="24"/>
                <w:szCs w:val="24"/>
              </w:rPr>
              <w:t xml:space="preserve">P4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🟡  MOYEN  </w:t>
            </w:r>
            <w:r>
              <w:rPr>
                <w:rFonts w:ascii="Arial" w:cs="Arial" w:eastAsia="Arial" w:hAnsi="Arial"/>
                <w:b/>
                <w:bCs/>
                <w:color w:val="1B3F6E"/>
                <w:sz w:val="24"/>
                <w:szCs w:val="24"/>
              </w:rPr>
              <w:t xml:space="preserve">  Erreur 'Authorization failed — Expected 3 parts in JWT'</w:t>
            </w:r>
          </w:p>
        </w:tc>
      </w:tr>
      <w:tr>
        <w:tc>
          <w:tcPr>
            <w:tcW w:type="dxa" w:w="9746"/>
            <w:tcBorders>
              <w:top w:val="none"/>
              <w:left w:val="thick" w:color="E8A020" w:sz="24"/>
              <w:bottom w:val="none"/>
              <w:right w:val="single" w:color="DDDDDD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Symptômes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 workflow RAG échoue sur le node 'Recherche Supabase Vector'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Message d'erreur contenant 'JWT' ou 'Authorization failed'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Causes probables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Conflit entre la credential stockée dans n8n et les headers explicites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 credential 'Header Auth' injecte un token qui écrase les headers Supabase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Actions correctives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Ouvrez le node HTTP Request incriminé dans n8n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Vérifiez que la section 'Authentication' est vide (None) — pas de credential sélectionnée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Assurez-vous que les headers apikey et Authorization sont en mode 'Explicit Headers'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Ré-importez le fichier RAG_fixed.json si le problème persiste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thick" w:color="C0392B" w:sz="12"/>
              <w:left w:val="thick" w:color="C0392B" w:sz="24"/>
              <w:bottom w:val="single" w:color="C0392B" w:sz="4"/>
              <w:right w:val="single" w:color="C0392B" w:sz="4"/>
            </w:tcBorders>
            <w:shd w:fill="FEE8E8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P5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🔴  ELEVÉ  </w:t>
            </w:r>
            <w:r>
              <w:rPr>
                <w:rFonts w:ascii="Arial" w:cs="Arial" w:eastAsia="Arial" w:hAnsi="Arial"/>
                <w:b/>
                <w:bCs/>
                <w:color w:val="1B3F6E"/>
                <w:sz w:val="24"/>
                <w:szCs w:val="24"/>
              </w:rPr>
              <w:t xml:space="preserve">  Le workflow d'ingestion ne remplit pas Supabase</w:t>
            </w:r>
          </w:p>
        </w:tc>
      </w:tr>
      <w:tr>
        <w:tc>
          <w:tcPr>
            <w:tcW w:type="dxa" w:w="9746"/>
            <w:tcBorders>
              <w:top w:val="none"/>
              <w:left w:val="thick" w:color="C0392B" w:sz="24"/>
              <w:bottom w:val="none"/>
              <w:right w:val="single" w:color="DDDDDD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Symptômes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L'ingestion se termine en 'Succeeded' mais la table documents reste vide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 résultats dans la base après plusieurs exécutions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Causes probables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Mise à jour 08/07/2026 — correction de cette fiche : le champ specifyBody doit valoir exactement “json” (pas “string”, ni “=json” avec un signe = en trop qui a été la cause réelle observée en production) ; le vrai bug est que jsonBody, qui contient le corps réel, est alors ignoré et un corps vide part vers Supabase, sans faire échouer l’exécution n8n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 contrainte UNIQUE (source_id, chunk_index) manque sur la table documents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 node 'Découper en chunks' retourne 0 items (fichiers binaires non lisibles)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Actions correctives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Supabase SQL Editor : vérifier que la table 'documents' existe avec la colonne 'embedding vector(1536)'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Vérifier la contrainte : ALTER TABLE documents ADD CONSTRAINT ... UNIQUE (source_id, chunk_index)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Dans n8n : ouvrir le node HTTP Request concerné et confirmer que specifyBody = “json” (exactement, sans espace ni signe = supplémentaire) ET que jsonBody contient bien le corps attendu — ne jamais se fier au seul statut “Succeeded” de l’exécution pour juger qu’un appel envoie réellement ses données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Vérifier que les fichiers .txt sont présents dans les dossiers Drive (pas seulement les DOCX)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Test manuel : curl -X POST .../rest/v1/documents avec un vecteur de test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thick" w:color="C0392B" w:sz="12"/>
              <w:left w:val="thick" w:color="C0392B" w:sz="24"/>
              <w:bottom w:val="single" w:color="C0392B" w:sz="4"/>
              <w:right w:val="single" w:color="C0392B" w:sz="4"/>
            </w:tcBorders>
            <w:shd w:fill="FEE8E8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P6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🔴  ELEVÉ  </w:t>
            </w:r>
            <w:r>
              <w:rPr>
                <w:rFonts w:ascii="Arial" w:cs="Arial" w:eastAsia="Arial" w:hAnsi="Arial"/>
                <w:b/>
                <w:bCs/>
                <w:color w:val="1B3F6E"/>
                <w:sz w:val="24"/>
                <w:szCs w:val="24"/>
              </w:rPr>
              <w:t xml:space="preserve">  Google Drive — 'Cannot read properties of undefined (reading execute)'</w:t>
            </w:r>
          </w:p>
        </w:tc>
      </w:tr>
      <w:tr>
        <w:tc>
          <w:tcPr>
            <w:tcW w:type="dxa" w:w="9746"/>
            <w:tcBorders>
              <w:top w:val="none"/>
              <w:left w:val="thick" w:color="C0392B" w:sz="24"/>
              <w:bottom w:val="none"/>
              <w:right w:val="single" w:color="DDDDDD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Symptômes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Erreur immédiate sur le node Drive dans le workflow d'ingestion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L'opération 'list' n'est pas reconnue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Causes probables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 node Google Drive v3 ne supporte PAS l'opération 'list' pour les fichiers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Incompatibilité entre la version du node et l'API attendue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Actions correctives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Remplacer le node Drive 'list' par un HTTP Request vers l'API Google Drive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URL : GET https://www.googleapis.com/drive/v3/files?q='{id}'+in+parents+...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Authentication : Predefined Credential Type → Google Drive OAuth2 API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B3F6E"/>
                <w:sz w:val="20"/>
                <w:szCs w:val="20"/>
              </w:rPr>
              <w:t xml:space="preserve">Ajouter un node Code 'Aplatir liste fichiers' après pour extraire files[]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thick" w:color="C0392B" w:sz="12"/>
              <w:left w:val="thick" w:color="C0392B" w:sz="24"/>
              <w:bottom w:val="single" w:color="C0392B" w:sz="4"/>
              <w:right w:val="single" w:color="C0392B" w:sz="4"/>
            </w:tcBorders>
            <w:shd w:fill="FEE8E8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P7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🔴  ELEVÉ — Système partiellement ou totalement arrêté  </w:t>
            </w:r>
            <w:r>
              <w:rPr>
                <w:rFonts w:ascii="Arial" w:cs="Arial" w:eastAsia="Arial" w:hAnsi="Arial"/>
                <w:b/>
                <w:bCs/>
                <w:color w:val="1B3F6E"/>
                <w:sz w:val="24"/>
                <w:szCs w:val="24"/>
              </w:rPr>
              <w:t xml:space="preserve">  Le workflow affiche “Succeeded” mais la recherche vectorielle n’a jamais eu lieu (corps de requête vide)</w:t>
            </w:r>
          </w:p>
        </w:tc>
      </w:tr>
      <w:tr>
        <w:tc>
          <w:tcPr>
            <w:tcW w:type="dxa" w:w="9746"/>
            <w:tcBorders>
              <w:top w:val="none"/>
              <w:left w:val="thick" w:color="C0392B" w:sz="24"/>
              <w:bottom w:val="none"/>
              <w:right w:val="single" w:color="DDDDDD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Symptômes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Aucune erreur visible dans n’importe quel onglet Executions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Les réponses ne citent jamais aucune source, même sur des questions dont on sait que la documentation existe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 node “Recherche Supabase Vector” produit un item vide ({}) au lieu des documents attendus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Causes probables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 champ specifyBody vaut “=json” (avec un = en trop) au lieu de “json” — ce n’est pas un champ expression, une bascule d’interface entre les modes “Using Fields Below” et “Using JSON” peut corrompre sa valeur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 vrai corps de requête, stocké dans jsonBody, est alors ignoré et un corps vide part vers l’API Supabase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Actions correctives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Ouvrir chaque node HTTP Request du workflow et vérifier parameters.specifyBody === “json” exactement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Vérifier aussi que jsonBody contient bien le corps attendu (l’embedding, le seuil, le nombre de résultats)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Ne jamais se fier au statut “Succeeded” seul — toujours ouvrir le panneau OUTPUT du node et compter les items réellement produits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spacing w:after="80" w:before="1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thick" w:color="C0392B" w:sz="12"/>
              <w:left w:val="thick" w:color="C0392B" w:sz="24"/>
              <w:bottom w:val="single" w:color="C0392B" w:sz="4"/>
              <w:right w:val="single" w:color="C0392B" w:sz="4"/>
            </w:tcBorders>
            <w:shd w:fill="FEE8E8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P8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🔴  ELEVÉ — Système partiellement ou totalement arrêté  </w:t>
            </w:r>
            <w:r>
              <w:rPr>
                <w:rFonts w:ascii="Arial" w:cs="Arial" w:eastAsia="Arial" w:hAnsi="Arial"/>
                <w:b/>
                <w:bCs/>
                <w:color w:val="1B3F6E"/>
                <w:sz w:val="24"/>
                <w:szCs w:val="24"/>
              </w:rPr>
              <w:t xml:space="preserve">  Une question hors-sujet obtient une vraie réponse au lieu d’escalader vers un conseiller humain</w:t>
            </w:r>
          </w:p>
        </w:tc>
      </w:tr>
      <w:tr>
        <w:tc>
          <w:tcPr>
            <w:tcW w:type="dxa" w:w="9746"/>
            <w:tcBorders>
              <w:top w:val="none"/>
              <w:left w:val="thick" w:color="C0392B" w:sz="24"/>
              <w:bottom w:val="none"/>
              <w:right w:val="single" w:color="DDDDDD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Symptômes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L’IA répond librement, hors du périmètre documentaire, sans jamais déclencher l’escalade Chatwoot prévue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La réponse cite “1 source” avec un titre générique (“Document”) et une similarité de 0%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Causes probables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n8n renvoie un item vide ({}) — et non 0 item — quand la recherche vectorielle ne trouve réellement aucun document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 code qui compte les sources trouvées ne filtrait pas cet item vide, donc le nombre de sources était toujours ≥ 1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Actions correctives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Dans le node qui construit le contexte RAG, filtrer les résultats sur la présence d’un vrai titre ou contenu avant de compter les sources : ne garder que les items où titre ou contenu existe réellement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Retester avec une question volontairement hors-sujet pour confirmer que l’escalade se déclenche bien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spacing w:after="80" w:before="1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thick" w:color="E8A020" w:sz="12"/>
              <w:left w:val="thick" w:color="E8A020" w:sz="24"/>
              <w:bottom w:val="single" w:color="E8A020" w:sz="4"/>
              <w:right w:val="single" w:color="E8A020" w:sz="4"/>
            </w:tcBorders>
            <w:shd w:fill="FEF3D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E8A020"/>
                <w:sz w:val="24"/>
                <w:szCs w:val="24"/>
              </w:rPr>
              <w:t xml:space="preserve">P9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🟡  MOYEN — Impact partiel sur l'usage  </w:t>
            </w:r>
            <w:r>
              <w:rPr>
                <w:rFonts w:ascii="Arial" w:cs="Arial" w:eastAsia="Arial" w:hAnsi="Arial"/>
                <w:b/>
                <w:bCs/>
                <w:color w:val="1B3F6E"/>
                <w:sz w:val="24"/>
                <w:szCs w:val="24"/>
              </w:rPr>
              <w:t xml:space="preserve">  L’escalade vers un conseiller humain échoue silencieusement (aucune notification Chatwoot créée)</w:t>
            </w:r>
          </w:p>
        </w:tc>
      </w:tr>
      <w:tr>
        <w:tc>
          <w:tcPr>
            <w:tcW w:type="dxa" w:w="9746"/>
            <w:tcBorders>
              <w:top w:val="none"/>
              <w:left w:val="thick" w:color="E8A020" w:sz="24"/>
              <w:bottom w:val="none"/>
              <w:right w:val="single" w:color="DDDDDD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Symptômes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 prospect reçoit bien le message “un conseiller va vous recontacter”, mais aucune conversation n’apparaît réellement dans Chatwoot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Aucun agent n’est notifié d’une question sans réponse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Causes probables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 token API Chatwoot codé en dur dans les nodes d’escalade est expiré ou a été invalidé par la régénération d’un token sur un autre workflow du même compte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Les champs inbox_id et contact_id utilisés pour créer la conversation contiennent des valeurs factices (1) au lieu des vrais identifiants du compte Chatwoot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Actions correctives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Régénérer un token Chatwoot valide (Profil → Access Token) et le reporter sur tous les nodes concernés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Vérifier les vrais inbox_id via GET /api/v1/accounts/{account_id}/inboxes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Créer ou identifier un contact dédié aux escalades système plutôt que d’utiliser contact_id: 1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Ajouter onError: continueRegularOutput sur ces nodes pour que le webhook réponde toujours à l’appelant même si la notification interne échoue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spacing w:after="80" w:before="1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thick" w:color="C0392B" w:sz="12"/>
              <w:left w:val="thick" w:color="C0392B" w:sz="24"/>
              <w:bottom w:val="single" w:color="C0392B" w:sz="4"/>
              <w:right w:val="single" w:color="C0392B" w:sz="4"/>
            </w:tcBorders>
            <w:shd w:fill="FEE8E8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P10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🔴  ELEVÉ — Système partiellement ou totalement arrêté  </w:t>
            </w:r>
            <w:r>
              <w:rPr>
                <w:rFonts w:ascii="Arial" w:cs="Arial" w:eastAsia="Arial" w:hAnsi="Arial"/>
                <w:b/>
                <w:bCs/>
                <w:color w:val="1B3F6E"/>
                <w:sz w:val="24"/>
                <w:szCs w:val="24"/>
              </w:rPr>
              <w:t xml:space="preserve">  Les réponses WhatsApp ne citent jamais aucune source RAG, malgré une recherche documentaire qui fonctionne correctement</w:t>
            </w:r>
          </w:p>
        </w:tc>
      </w:tr>
      <w:tr>
        <w:tc>
          <w:tcPr>
            <w:tcW w:type="dxa" w:w="9746"/>
            <w:tcBorders>
              <w:top w:val="none"/>
              <w:left w:val="thick" w:color="C0392B" w:sz="24"/>
              <w:bottom w:val="none"/>
              <w:right w:val="single" w:color="DDDDDD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Symptômes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 compteur interne de sources trouvées (rag_sources_count) reste à 0 dans 100% des conversations, même sur des questions dont la documentation existe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L’IA répond correctement mais jamais de façon spécifiquement ancrée dans les documents TransferAI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Causes probables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 node qui construit le prompt envoyé à GPT ne lit que le premier résultat renvoyé par n8n via .first(), alors qu’une réponse contenant plusieurs documents est éclatée par n8n en autant d’items séparés — un seul document (ou aucun) était donc jamais lu, peu importe le nombre réel de résultats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Actions correctives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Remplacer la lecture par $(‘Nom du node de recherche’).all().map(item ⇒ item.json), puis filtrer les items sans titre ni contenu réel avant de les injecter dans le prompt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Valider hors-ligne en rejouant les données d’une exécution passée avant de déployer, plutôt que de tester en direct sur un canal client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spacing w:after="80" w:before="1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thick" w:color="E8A020" w:sz="12"/>
              <w:left w:val="thick" w:color="E8A020" w:sz="24"/>
              <w:bottom w:val="single" w:color="E8A020" w:sz="4"/>
              <w:right w:val="single" w:color="E8A020" w:sz="4"/>
            </w:tcBorders>
            <w:shd w:fill="FEF3D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E8A020"/>
                <w:sz w:val="24"/>
                <w:szCs w:val="24"/>
              </w:rPr>
              <w:t xml:space="preserve">P11  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🟡  MOYEN — Impact partiel sur l'usage  </w:t>
            </w:r>
            <w:r>
              <w:rPr>
                <w:rFonts w:ascii="Arial" w:cs="Arial" w:eastAsia="Arial" w:hAnsi="Arial"/>
                <w:b/>
                <w:bCs/>
                <w:color w:val="1B3F6E"/>
                <w:sz w:val="24"/>
                <w:szCs w:val="24"/>
              </w:rPr>
              <w:t xml:space="preserve">  Un message généré par l’IA n’arrive jamais sur WhatsApp, malgré une exécution “Succeeded”</w:t>
            </w:r>
          </w:p>
        </w:tc>
      </w:tr>
      <w:tr>
        <w:tc>
          <w:tcPr>
            <w:tcW w:type="dxa" w:w="9746"/>
            <w:tcBorders>
              <w:top w:val="none"/>
              <w:left w:val="thick" w:color="E8A020" w:sz="24"/>
              <w:bottom w:val="none"/>
              <w:right w:val="single" w:color="DDDDDD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Symptômes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Toutes les étapes du workflow s’exécutent sans erreur apparente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 node d’envoi vers Chatwoot renvoie en réalité {"error": "Invalid Access Token"} dans sa sortie, invisible tant qu’on ne l’ouvre pas explicitement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Causes probables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Un compte Chatwoot n’a qu’un seul token d’accès agent actif à la fois : régénérer ce token pour corriger un autre workflow du même compte invalide silencieusement l’ancien token encore utilisé ailleurs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Les nodes concernés ont neverError activé dans leurs options, donc l’échec ne fait jamais planter l’exécution n8n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Actions correctives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Après toute régénération d’un token Chatwoot, mettre à jour TOUS les workflows connus du même compte, pas seulement celui qu’on est en train de corriger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Ouvrir systématiquement la sortie réelle des nodes vers Chatwoot (pas seulement le statut d’exécution) pour vérifier l’absence du champ error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Confirmer la livraison en envoyant un vrai message de test et en vérifiant sa réception sur le téléphone, pas seulement dans les logs n8n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spacing w:after="80" w:before="140"/>
      </w:pPr>
      <w:r>
        <w:t xml:space="preserve"/>
      </w:r>
    </w:p>
    <w:p>
      <w:pPr>
        <w:spacing w:after="40" w:before="80"/>
      </w:pPr>
      <w:r>
        <w:t xml:space="preserve"/>
      </w:r>
    </w:p>
    <w:p>
      <w:pPr>
        <w:spacing w:after="80" w:before="1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F6E"/>
          <w:sz w:val="26"/>
          <w:szCs w:val="26"/>
        </w:rPr>
        <w:t xml:space="preserve">4.7  Checklist de Vérification Quotidienne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Effectuez ces vérifications chaque matin pour garantir le bon fonctionnement du système RAG :</w:t>
      </w:r>
    </w:p>
    <w:p>
      <w:pPr>
        <w:spacing w:after="8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46"/>
        <w:gridCol w:w="2000"/>
        <w:gridCol w:w="2000"/>
      </w:tblGrid>
      <w:tr>
        <w:trPr>
          <w:tblHeader/>
        </w:trPr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2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Où vérifier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F6E"/>
                <w:sz w:val="28"/>
                <w:szCs w:val="28"/>
              </w:rPr>
              <w:t xml:space="preserve">☐</w:t>
            </w:r>
          </w:p>
        </w:tc>
        <w:tc>
          <w:tcPr>
            <w:tcW w:type="dxa" w:w="5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Table 'documents' contient des enregistrements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Supabase → Table Editor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Quotidien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D6B"/>
                <w:sz w:val="28"/>
                <w:szCs w:val="28"/>
              </w:rPr>
              <w:t xml:space="preserve">☐</w:t>
            </w:r>
          </w:p>
        </w:tc>
        <w:tc>
          <w:tcPr>
            <w:tcW w:type="dxa" w:w="5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Workflow RAG est en mode 'Published'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n8n → Workflow list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Quotidien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F6E"/>
                <w:sz w:val="28"/>
                <w:szCs w:val="28"/>
              </w:rPr>
              <w:t xml:space="preserve">☐</w:t>
            </w:r>
          </w:p>
        </w:tc>
        <w:tc>
          <w:tcPr>
            <w:tcW w:type="dxa" w:w="5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Workflow Ingestion a tourné dans les dernières 6h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n8n → Executions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Quotidien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D6B"/>
                <w:sz w:val="28"/>
                <w:szCs w:val="28"/>
              </w:rPr>
              <w:t xml:space="preserve">☐</w:t>
            </w:r>
          </w:p>
        </w:tc>
        <w:tc>
          <w:tcPr>
            <w:tcW w:type="dxa" w:w="5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Clé API OpenAI est valide (non expirée)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platform.openai.com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Hebdomadaire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F6E"/>
                <w:sz w:val="28"/>
                <w:szCs w:val="28"/>
              </w:rPr>
              <w:t xml:space="preserve">☐</w:t>
            </w:r>
          </w:p>
        </w:tc>
        <w:tc>
          <w:tcPr>
            <w:tcW w:type="dxa" w:w="5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Credential Google Drive OAuth est actif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n8n → Credentials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Mensuel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D6B"/>
                <w:sz w:val="28"/>
                <w:szCs w:val="28"/>
              </w:rPr>
              <w:t xml:space="preserve">☐</w:t>
            </w:r>
          </w:p>
        </w:tc>
        <w:tc>
          <w:tcPr>
            <w:tcW w:type="dxa" w:w="5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Nouveaux documents ajoutés dans les sous-dossiers Drive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Au besoin</w:t>
            </w:r>
          </w:p>
        </w:tc>
      </w:tr>
    </w:tbl>
    <w:p>
      <w:pPr>
        <w:spacing w:after="8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bookmarkStart w:name="part5" w:id="5"/>
      <w:r>
        <w:rPr>
          <w:rFonts w:ascii="Arial" w:cs="Arial" w:eastAsia="Arial" w:hAnsi="Arial"/>
          <w:b/>
          <w:bCs/>
          <w:color w:val="1B3F6E"/>
          <w:sz w:val="34"/>
          <w:szCs w:val="34"/>
        </w:rPr>
        <w:t xml:space="preserve">PARTIE 5 — Contacts &amp; Ressources</w:t>
      </w:r>
      <w:bookmarkEnd w:id="5"/>
    </w:p>
    <w:p>
      <w:pPr>
        <w:pBdr>
          <w:bottom w:val="single" w:color="1B3F6E" w:sz="10" w:space="1"/>
        </w:pBd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F6E"/>
          <w:sz w:val="26"/>
          <w:szCs w:val="26"/>
        </w:rPr>
        <w:t xml:space="preserve">5.1  Contacts Support</w:t>
      </w:r>
    </w:p>
    <w:p>
      <w:pPr>
        <w:spacing w:after="8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46"/>
        <w:gridCol w:w="4000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7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 quel problème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Administrateur Système</w:t>
            </w:r>
          </w:p>
        </w:tc>
        <w:tc>
          <w:tcPr>
            <w:tcW w:type="dxa" w:w="2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Équipe Technique TransferAI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Erreurs workflows n8n, Supabase, credentials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Support Formation</w:t>
            </w:r>
          </w:p>
        </w:tc>
        <w:tc>
          <w:tcPr>
            <w:tcW w:type="dxa" w:w="2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Formation IA — Juillet 2026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Questions sur le contenu du guide, cas d'usage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Manager des Opérations</w:t>
            </w:r>
          </w:p>
        </w:tc>
        <w:tc>
          <w:tcPr>
            <w:tcW w:type="dxa" w:w="2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contact@transferai.ci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F6E"/>
                <w:sz w:val="20"/>
                <w:szCs w:val="20"/>
              </w:rPr>
              <w:t xml:space="preserve">Escalades, décisions stratégiques base documentaire</w:t>
            </w:r>
          </w:p>
        </w:tc>
      </w:tr>
    </w:tbl>
    <w:p>
      <w:pPr>
        <w:spacing w:after="80" w:before="1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F6E"/>
          <w:sz w:val="26"/>
          <w:szCs w:val="26"/>
        </w:rPr>
        <w:t xml:space="preserve">5.2  Liens Utiles</w:t>
      </w:r>
    </w:p>
    <w:p>
      <w:pPr>
        <w:spacing w:after="8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46"/>
      </w:tblGrid>
      <w:tr>
        <w:trPr>
          <w:tblHeader/>
        </w:trPr>
        <w:tc>
          <w:tcPr>
            <w:tcW w:type="dxa" w:w="3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Ressource</w:t>
            </w:r>
          </w:p>
        </w:tc>
        <w:tc>
          <w:tcPr>
            <w:tcW w:type="dxa" w:w="62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F6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Accès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Interface n8n (workflows)</w:t>
            </w:r>
          </w:p>
        </w:tc>
        <w:tc>
          <w:tcPr>
            <w:tcW w:type="dxa" w:w="6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7D6B"/>
                <w:sz w:val="20"/>
                <w:szCs w:val="20"/>
              </w:rPr>
              <w:t xml:space="preserve">https://n8n-pxlk.srv1480638.hstgr.cloud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Base de données Supabase</w:t>
            </w:r>
          </w:p>
        </w:tc>
        <w:tc>
          <w:tcPr>
            <w:tcW w:type="dxa" w:w="6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7D6B"/>
                <w:sz w:val="20"/>
                <w:szCs w:val="20"/>
              </w:rPr>
              <w:t xml:space="preserve">https://wlhznciwuofueffyoflo.supabase.co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Chatwoot (interface client)</w:t>
            </w:r>
          </w:p>
        </w:tc>
        <w:tc>
          <w:tcPr>
            <w:tcW w:type="dxa" w:w="6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7D6B"/>
                <w:sz w:val="20"/>
                <w:szCs w:val="20"/>
              </w:rPr>
              <w:t xml:space="preserve">https://app.chatwoot.com — Compte 163278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Google Drive — Base documentaire</w:t>
            </w:r>
          </w:p>
        </w:tc>
        <w:tc>
          <w:tcPr>
            <w:tcW w:type="dxa" w:w="6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7D6B"/>
                <w:sz w:val="20"/>
                <w:szCs w:val="20"/>
              </w:rPr>
              <w:t xml:space="preserve">Base documentaire RAG / (7 sous-dossiers)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Webhook RAG (externe)</w:t>
            </w:r>
          </w:p>
        </w:tc>
        <w:tc>
          <w:tcPr>
            <w:tcW w:type="dxa" w:w="6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7D6B"/>
                <w:sz w:val="20"/>
                <w:szCs w:val="20"/>
              </w:rPr>
              <w:t xml:space="preserve">POST /webhook/recherche-documentaire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Webhook RAG (interne)</w:t>
            </w:r>
          </w:p>
        </w:tc>
        <w:tc>
          <w:tcPr>
            <w:tcW w:type="dxa" w:w="6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7D6B"/>
                <w:sz w:val="20"/>
                <w:szCs w:val="20"/>
              </w:rPr>
              <w:t xml:space="preserve">POST /webhook/recherche-documentaire-interne (workflow Recherche_Documentaire_RAG)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Interface Web RAG (nouveau)</w:t>
            </w:r>
          </w:p>
        </w:tc>
        <w:tc>
          <w:tcPr>
            <w:tcW w:type="dxa" w:w="6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7D6B"/>
                <w:sz w:val="20"/>
                <w:szCs w:val="20"/>
              </w:rPr>
              <w:t xml:space="preserve">https://www.transferai.ci/demo/recherche-documentaire — page publique, sans authentification, réservée à un usage interne par convention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B3F6E"/>
                <w:sz w:val="20"/>
                <w:szCs w:val="20"/>
              </w:rPr>
              <w:t xml:space="preserve">Statut OpenAI</w:t>
            </w:r>
          </w:p>
        </w:tc>
        <w:tc>
          <w:tcPr>
            <w:tcW w:type="dxa" w:w="62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D7D6B"/>
                <w:sz w:val="20"/>
                <w:szCs w:val="20"/>
              </w:rPr>
              <w:t xml:space="preserve">https://status.openai.com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Bdr>
          <w:bottom w:val="single" w:color="E8A020" w:sz="16" w:space="1"/>
        </w:pBdr>
        <w:spacing w:after="60" w:before="60"/>
      </w:pPr>
      <w:r>
        <w:t xml:space="preserve"/>
      </w:r>
    </w:p>
    <w:p>
      <w:pPr>
        <w:spacing w:after="60" w:before="100"/>
      </w:pPr>
      <w: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color w:val="1B3F6E"/>
          <w:sz w:val="20"/>
          <w:szCs w:val="20"/>
        </w:rPr>
        <w:t xml:space="preserve">TransferAI Africa — Formation IA Pratique aux Métiers — Juillet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Ce document est mis à jour automatiquement à chaque cycle de formation.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0D7D6B"/>
          <w:sz w:val="20"/>
          <w:szCs w:val="20"/>
        </w:rPr>
        <w:t xml:space="preserve">www.transferai.ci  |  contact@transferai.ci</w:t>
      </w:r>
    </w:p>
    <w:sectPr>
      <w:headerReference w:type="default" r:id="rId9"/>
      <w:footerReference w:type="default" r:id="rId10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A020" w:sz="6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i/>
        <w:iCs/>
        <w:color w:val="555555"/>
        <w:sz w:val="17"/>
        <w:szCs w:val="17"/>
      </w:rPr>
      <w:t xml:space="preserve">Confidentiel — Usage interne</w:t>
    </w:r>
    <w:r>
      <w:rPr>
        <w:rFonts w:ascii="Arial" w:cs="Arial" w:eastAsia="Arial" w:hAnsi="Arial"/>
        <w:color w:val="555555"/>
        <w:sz w:val="17"/>
        <w:szCs w:val="17"/>
      </w:rPr>
      <w:t xml:space="preserve">	Page </w:t>
    </w:r>
    <w:r>
      <w:rPr>
        <w:rFonts w:ascii="Arial" w:cs="Arial" w:eastAsia="Arial" w:hAnsi="Arial"/>
        <w:b/>
        <w:bCs/>
        <w:color w:val="1B3F6E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F6E" w:sz="6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B3F6E"/>
        <w:sz w:val="18"/>
        <w:szCs w:val="18"/>
      </w:rPr>
      <w:t xml:space="preserve">TransferAI Africa  —  Guide RAG</w:t>
    </w:r>
    <w:r>
      <w:rPr>
        <w:rFonts w:ascii="Arial" w:cs="Arial" w:eastAsia="Arial" w:hAnsi="Arial"/>
        <w:color w:val="555555"/>
        <w:sz w:val="18"/>
        <w:szCs w:val="18"/>
      </w:rPr>
      <w:t xml:space="preserve">	Formation IA Juillet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►"/>
      <w:lvlJc w:val="left"/>
      <w:pPr>
        <w:ind w:left="58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3F6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B3F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D7D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2026-07-03T00:35:31.322Z</dcterms:created>
  <dcterms:modified xsi:type="dcterms:W3CDTF">2026-07-03T00:35:31.323Z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