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0263F"/>
          <w:sz w:val="34"/>
          <w:szCs w:val="34"/>
        </w:rPr>
        <w:t xml:space="preserve">TransferAI Africa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0D7D6B"/>
          <w:sz w:val="20"/>
          <w:szCs w:val="20"/>
        </w:rPr>
        <w:t xml:space="preserve">Hub IA de NettelecomCI en Côte d'Ivoire</w:t>
      </w:r>
    </w:p>
    <w:p>
      <w:pPr>
        <w:pBdr>
          <w:bottom w:val="single" w:color="E8920A" w:sz="14" w:space="1"/>
        </w:pBdr>
        <w:spacing w:after="50" w:before="5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0263F"/>
          <w:sz w:val="30"/>
          <w:szCs w:val="30"/>
        </w:rPr>
        <w:t xml:space="preserve">CE QUE VOUS EMPORTEZ À L'ISSUE DE LA FORMATION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5 livrables concrets + 5 promesses mesurables — et ce que les autres n'offrent pas</w:t>
      </w:r>
    </w:p>
    <w:p>
      <w:pPr>
        <w:pBdr>
          <w:bottom w:val="single" w:color="10263F" w:sz="8" w:space="1"/>
        </w:pBdr>
        <w:spacing w:after="50" w:before="5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À l'issue des 2 jours de formation TransferAI, chaque participant repart avec des livrables tangibles — pas des slides à ranger dans un tiroir. Voici ce que vous emportez, et pourquoi c'est fondamentalement différent de ce que proposent les autres organismes.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346"/>
      </w:tblGrid>
      <w:tr>
        <w:tc>
          <w:tcPr>
            <w:tcW w:type="dxa" w:w="68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63F" w:val="clear"/>
            <w:tcMar>
              <w:top w:type="dxa" w:w="14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L1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📋</w:t>
            </w:r>
          </w:p>
        </w:tc>
        <w:tc>
          <w:tcPr>
            <w:tcW w:type="dxa" w:w="8346"/>
            <w:tcBorders>
              <w:top w:val="none" w:color="FFFFFF" w:sz="0"/>
              <w:left w:val="thick" w:color="FFFFFF" w:sz="16"/>
              <w:bottom w:val="single" w:color="CCCCCC" w:sz="1"/>
              <w:right w:val="none" w:color="FFFFFF" w:sz="0"/>
            </w:tcBorders>
            <w:shd w:fill="10263F" w:val="clear"/>
            <w:tcMar>
              <w:top w:type="dxa" w:w="120"/>
              <w:left w:type="dxa" w:w="22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Votre Note de Cadrage IA personnalisée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Livrable écrit remis à chaque participant à l'issue du Jour 1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346"/>
            <w:tcBorders>
              <w:top w:val="none" w:color="FFFFFF" w:sz="0"/>
              <w:left w:val="thick" w:color="10263F" w:sz="20"/>
              <w:bottom w:val="none" w:color="FFFFFF" w:sz="0"/>
              <w:right w:val="none" w:color="FFFFFF" w:sz="0"/>
            </w:tcBorders>
            <w:shd w:fill="D6E4F0" w:val="clear"/>
            <w:tcMar>
              <w:top w:type="dxa" w:w="140"/>
              <w:left w:type="dxa" w:w="220"/>
              <w:bottom w:type="dxa" w:w="14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Un document structuré qui identifie vos 2 à 3 cas d'usage IA prioritaires selon votre métier et votre organisation — avec les irritants confirmés, les risques évalués et les premières décisions à prendre. Ce n'est pas un template générique : c'est votre réalité terrain mise sur papier par un expert TransferAI.</w:t>
            </w:r>
          </w:p>
          <w:tbl>
            <w:tblPr>
              <w:tblW w:type="dxa" w:w="8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0"/>
              <w:gridCol w:w="4200"/>
            </w:tblGrid>
            <w:tr>
              <w:trPr>
                <w:tblHeader/>
              </w:trPr>
              <w:tc>
                <w:tcPr>
                  <w:tcW w:type="dxa" w:w="3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392B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Autres organismes</w:t>
                  </w:r>
                </w:p>
              </w:tc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7D6B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TransferAI Africa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EE8E8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C0392B"/>
                      <w:sz w:val="19"/>
                      <w:szCs w:val="19"/>
                    </w:rPr>
                    <w:t xml:space="preserve">✗  Attestation de présence. Fin de la relation.</w:t>
                  </w:r>
                </w:p>
              </w:tc>
              <w:tc>
                <w:tcPr>
                  <w:tcW w:type="dxa" w:w="42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D5F0EC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04433"/>
                      <w:sz w:val="19"/>
                      <w:szCs w:val="19"/>
                    </w:rPr>
                    <w:t xml:space="preserve">✓  Note de cadrage personnalisée : vos priorités, vos cas d'usage, vos risques, votre contexte.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346"/>
      </w:tblGrid>
      <w:tr>
        <w:tc>
          <w:tcPr>
            <w:tcW w:type="dxa" w:w="68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920A" w:val="clear"/>
            <w:tcMar>
              <w:top w:type="dxa" w:w="14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L2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🗺</w:t>
            </w:r>
          </w:p>
        </w:tc>
        <w:tc>
          <w:tcPr>
            <w:tcW w:type="dxa" w:w="8346"/>
            <w:tcBorders>
              <w:top w:val="none" w:color="FFFFFF" w:sz="0"/>
              <w:left w:val="thick" w:color="FFFFFF" w:sz="16"/>
              <w:bottom w:val="single" w:color="CCCCCC" w:sz="1"/>
              <w:right w:val="none" w:color="FFFFFF" w:sz="0"/>
            </w:tcBorders>
            <w:shd w:fill="E8920A" w:val="clear"/>
            <w:tcMar>
              <w:top w:type="dxa" w:w="120"/>
              <w:left w:type="dxa" w:w="22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Votre Plan d'Action à 90 jours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Feuille de route opérationnelle avec KPI, responsables et jalons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346"/>
            <w:tcBorders>
              <w:top w:val="none" w:color="FFFFFF" w:sz="0"/>
              <w:left w:val="thick" w:color="E8920A" w:sz="20"/>
              <w:bottom w:val="none" w:color="FFFFFF" w:sz="0"/>
              <w:right w:val="none" w:color="FFFFFF" w:sz="0"/>
            </w:tcBorders>
            <w:shd w:fill="FEF3DC" w:val="clear"/>
            <w:tcMar>
              <w:top w:type="dxa" w:w="140"/>
              <w:left w:type="dxa" w:w="220"/>
              <w:bottom w:type="dxa" w:w="14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À J+90, vous savez exactement où vous en êtes. Le plan d'action remis en fin de Jour 2 détaille : les étapes de votre premier pilote IA, les équipes à impliquer, les KPI à mesurer et les critères pour décider d'une extension. Vous repartez avec une trajectoire défendable devant votre direction — pas une bonne intention.</w:t>
            </w:r>
          </w:p>
          <w:tbl>
            <w:tblPr>
              <w:tblW w:type="dxa" w:w="8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0"/>
              <w:gridCol w:w="4200"/>
            </w:tblGrid>
            <w:tr>
              <w:trPr>
                <w:tblHeader/>
              </w:trPr>
              <w:tc>
                <w:tcPr>
                  <w:tcW w:type="dxa" w:w="3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392B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Autres organismes</w:t>
                  </w:r>
                </w:p>
              </w:tc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7D6B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TransferAI Africa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EE8E8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C0392B"/>
                      <w:sz w:val="19"/>
                      <w:szCs w:val="19"/>
                    </w:rPr>
                    <w:t xml:space="preserve">✗  Contenu pédagogique uniquement. Pas de suivi.</w:t>
                  </w:r>
                </w:p>
              </w:tc>
              <w:tc>
                <w:tcPr>
                  <w:tcW w:type="dxa" w:w="42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D5F0EC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04433"/>
                      <w:sz w:val="19"/>
                      <w:szCs w:val="19"/>
                    </w:rPr>
                    <w:t xml:space="preserve">✓  Plan d'action à 90 jours avec jalons J+0 / J+15 / J+45 / J+90, KPI et responsables.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346"/>
      </w:tblGrid>
      <w:tr>
        <w:tc>
          <w:tcPr>
            <w:tcW w:type="dxa" w:w="68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D6B" w:val="clear"/>
            <w:tcMar>
              <w:top w:type="dxa" w:w="14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L3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⚙</w:t>
            </w:r>
          </w:p>
        </w:tc>
        <w:tc>
          <w:tcPr>
            <w:tcW w:type="dxa" w:w="8346"/>
            <w:tcBorders>
              <w:top w:val="none" w:color="FFFFFF" w:sz="0"/>
              <w:left w:val="thick" w:color="FFFFFF" w:sz="16"/>
              <w:bottom w:val="single" w:color="CCCCCC" w:sz="1"/>
              <w:right w:val="none" w:color="FFFFFF" w:sz="0"/>
            </w:tcBorders>
            <w:shd w:fill="0D7D6B" w:val="clear"/>
            <w:tcMar>
              <w:top w:type="dxa" w:w="120"/>
              <w:left w:type="dxa" w:w="22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Votre Premier Flux IA Automatisé — Fonctionnel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Un cas d'usage réel de votre métier automatisé pendant les ateliers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346"/>
            <w:tcBorders>
              <w:top w:val="none" w:color="FFFFFF" w:sz="0"/>
              <w:left w:val="thick" w:color="0D7D6B" w:sz="20"/>
              <w:bottom w:val="none" w:color="FFFFFF" w:sz="0"/>
              <w:right w:val="none" w:color="FFFFFF" w:sz="0"/>
            </w:tcBorders>
            <w:shd w:fill="D5F0EC" w:val="clear"/>
            <w:tcMar>
              <w:top w:type="dxa" w:w="140"/>
              <w:left w:type="dxa" w:w="220"/>
              <w:bottom w:type="dxa" w:w="14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Pas de simulation. Pendant la formation, vos équipes implémentent un flux IA réel : compte rendu de réunion automatisé, rédaction de courriers assistée, synthèse documentaire, reporting IA… Vous repartez avec un workflow qui tourne — et que vous pouvez montrer à votre DG le lendemain.</w:t>
            </w:r>
          </w:p>
          <w:tbl>
            <w:tblPr>
              <w:tblW w:type="dxa" w:w="8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0"/>
              <w:gridCol w:w="4200"/>
            </w:tblGrid>
            <w:tr>
              <w:trPr>
                <w:tblHeader/>
              </w:trPr>
              <w:tc>
                <w:tcPr>
                  <w:tcW w:type="dxa" w:w="3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392B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Autres organismes</w:t>
                  </w:r>
                </w:p>
              </w:tc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7D6B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TransferAI Africa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EE8E8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C0392B"/>
                      <w:sz w:val="19"/>
                      <w:szCs w:val="19"/>
                    </w:rPr>
                    <w:t xml:space="preserve">✗  Démonstrations d'outils sur des exemples génériques.</w:t>
                  </w:r>
                </w:p>
              </w:tc>
              <w:tc>
                <w:tcPr>
                  <w:tcW w:type="dxa" w:w="42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D5F0EC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04433"/>
                      <w:sz w:val="19"/>
                      <w:szCs w:val="19"/>
                    </w:rPr>
                    <w:t xml:space="preserve">✓  Un flux IA opérationnel sur votre propre cas d'usage, construit pendant la formation.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346"/>
      </w:tblGrid>
      <w:tr>
        <w:tc>
          <w:tcPr>
            <w:tcW w:type="dxa" w:w="68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63F" w:val="clear"/>
            <w:tcMar>
              <w:top w:type="dxa" w:w="14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L4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🔒</w:t>
            </w:r>
          </w:p>
        </w:tc>
        <w:tc>
          <w:tcPr>
            <w:tcW w:type="dxa" w:w="8346"/>
            <w:tcBorders>
              <w:top w:val="none" w:color="FFFFFF" w:sz="0"/>
              <w:left w:val="thick" w:color="FFFFFF" w:sz="16"/>
              <w:bottom w:val="single" w:color="CCCCCC" w:sz="1"/>
              <w:right w:val="none" w:color="FFFFFF" w:sz="0"/>
            </w:tcBorders>
            <w:shd w:fill="10263F" w:val="clear"/>
            <w:tcMar>
              <w:top w:type="dxa" w:w="120"/>
              <w:left w:type="dxa" w:w="22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Votre Charte d'Usage IA Interne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Cadre de gouvernance, conformité et protection des données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346"/>
            <w:tcBorders>
              <w:top w:val="none" w:color="FFFFFF" w:sz="0"/>
              <w:left w:val="thick" w:color="10263F" w:sz="20"/>
              <w:bottom w:val="none" w:color="FFFFFF" w:sz="0"/>
              <w:right w:val="none" w:color="FFFFFF" w:sz="0"/>
            </w:tcBorders>
            <w:shd w:fill="D6E4F0" w:val="clear"/>
            <w:tcMar>
              <w:top w:type="dxa" w:w="140"/>
              <w:left w:type="dxa" w:w="220"/>
              <w:bottom w:type="dxa" w:w="14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Chaque organisation repart avec une charte d'usage IA adaptée à son contexte : règles de confidentialité, anonymisation des données sensibles, validation humaine obligatoire, prompts professionnels approuvés. Un document que vous pouvez diffuser immédiatement à vos équipes pour encadrer les usages en toute sécurité.</w:t>
            </w:r>
          </w:p>
          <w:tbl>
            <w:tblPr>
              <w:tblW w:type="dxa" w:w="8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0"/>
              <w:gridCol w:w="4200"/>
            </w:tblGrid>
            <w:tr>
              <w:trPr>
                <w:tblHeader/>
              </w:trPr>
              <w:tc>
                <w:tcPr>
                  <w:tcW w:type="dxa" w:w="3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392B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Autres organismes</w:t>
                  </w:r>
                </w:p>
              </w:tc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7D6B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TransferAI Africa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EE8E8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C0392B"/>
                      <w:sz w:val="19"/>
                      <w:szCs w:val="19"/>
                    </w:rPr>
                    <w:t xml:space="preserve">✗  Aucune charte fournie. La gouvernance reste à la charge du client.</w:t>
                  </w:r>
                </w:p>
              </w:tc>
              <w:tc>
                <w:tcPr>
                  <w:tcW w:type="dxa" w:w="42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D5F0EC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04433"/>
                      <w:sz w:val="19"/>
                      <w:szCs w:val="19"/>
                    </w:rPr>
                    <w:t xml:space="preserve">✓  Charte d'usage IA sur-mesure : conformité RGPD/ARTCI, anonymisation, validation humaine.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346"/>
      </w:tblGrid>
      <w:tr>
        <w:tc>
          <w:tcPr>
            <w:tcW w:type="dxa" w:w="68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920A" w:val="clear"/>
            <w:tcMar>
              <w:top w:type="dxa" w:w="14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L5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🏅</w:t>
            </w:r>
          </w:p>
        </w:tc>
        <w:tc>
          <w:tcPr>
            <w:tcW w:type="dxa" w:w="8346"/>
            <w:tcBorders>
              <w:top w:val="none" w:color="FFFFFF" w:sz="0"/>
              <w:left w:val="thick" w:color="FFFFFF" w:sz="16"/>
              <w:bottom w:val="single" w:color="CCCCCC" w:sz="1"/>
              <w:right w:val="none" w:color="FFFFFF" w:sz="0"/>
            </w:tcBorders>
            <w:shd w:fill="E8920A" w:val="clear"/>
            <w:tcMar>
              <w:top w:type="dxa" w:w="120"/>
              <w:left w:type="dxa" w:w="22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Votre Certification + Accompagnement Post-Formation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Attestation TransferAI / NettelecomCI + suivi expert 90 jours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346"/>
            <w:tcBorders>
              <w:top w:val="none" w:color="FFFFFF" w:sz="0"/>
              <w:left w:val="thick" w:color="E8920A" w:sz="20"/>
              <w:bottom w:val="none" w:color="FFFFFF" w:sz="0"/>
              <w:right w:val="none" w:color="FFFFFF" w:sz="0"/>
            </w:tcBorders>
            <w:shd w:fill="FEF3DC" w:val="clear"/>
            <w:tcMar>
              <w:top w:type="dxa" w:w="140"/>
              <w:left w:type="dxa" w:w="220"/>
              <w:bottom w:type="dxa" w:w="14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La formation se termine, l'accompagnement commence. Chaque participant reçoit une certification TransferAI Africa reconnue par le réseau NettelecomCI. Et chaque organisation bénéficie de 90 jours de suivi : relecture des KPI, ajustements du pilote, réponses aux questions terrain et décision d'extension outillée par des données réelles.</w:t>
            </w:r>
          </w:p>
          <w:tbl>
            <w:tblPr>
              <w:tblW w:type="dxa" w:w="8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0"/>
              <w:gridCol w:w="4200"/>
            </w:tblGrid>
            <w:tr>
              <w:trPr>
                <w:tblHeader/>
              </w:trPr>
              <w:tc>
                <w:tcPr>
                  <w:tcW w:type="dxa" w:w="3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392B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Autres organismes</w:t>
                  </w:r>
                </w:p>
              </w:tc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7D6B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TransferAI Africa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EE8E8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C0392B"/>
                      <w:sz w:val="19"/>
                      <w:szCs w:val="19"/>
                    </w:rPr>
                    <w:t xml:space="preserve">✗  Certificat générique de fin de formation. Aucun suivi.</w:t>
                  </w:r>
                </w:p>
              </w:tc>
              <w:tc>
                <w:tcPr>
                  <w:tcW w:type="dxa" w:w="42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D5F0EC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04433"/>
                      <w:sz w:val="19"/>
                      <w:szCs w:val="19"/>
                    </w:rPr>
                    <w:t xml:space="preserve">✓  Certification TransferAI / NettelecomCI + 90 jours de suivi expert avec revue des KPI.</w:t>
                  </w:r>
                </w:p>
              </w:tc>
            </w:tr>
          </w:tbl>
          <w:p/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346"/>
      </w:tblGrid>
      <w:tr>
        <w:tc>
          <w:tcPr>
            <w:tcW w:type="dxa" w:w="68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D6B" w:val="clear"/>
            <w:tcMar>
              <w:top w:type="dxa" w:w="14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L6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🌐</w:t>
            </w:r>
          </w:p>
        </w:tc>
        <w:tc>
          <w:tcPr>
            <w:tcW w:type="dxa" w:w="8346"/>
            <w:tcBorders>
              <w:top w:val="none" w:color="FFFFFF" w:sz="0"/>
              <w:left w:val="thick" w:color="FFFFFF" w:sz="16"/>
              <w:bottom w:val="single" w:color="CCCCCC" w:sz="1"/>
              <w:right w:val="none" w:color="FFFFFF" w:sz="0"/>
            </w:tcBorders>
            <w:shd w:fill="0D7D6B" w:val="clear"/>
            <w:tcMar>
              <w:top w:type="dxa" w:w="120"/>
              <w:left w:type="dxa" w:w="22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Nous migrons vos systèmes vers le cloud — sur demande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Service complémentaire de migration cloud &amp; données, disponible sur demande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346"/>
            <w:tcBorders>
              <w:top w:val="none" w:color="FFFFFF" w:sz="0"/>
              <w:left w:val="thick" w:color="0D7D6B" w:sz="20"/>
              <w:bottom w:val="none" w:color="FFFFFF" w:sz="0"/>
              <w:right w:val="none" w:color="FFFFFF" w:sz="0"/>
            </w:tcBorders>
            <w:shd w:fill="D5F0EC" w:val="clear"/>
            <w:tcMar>
              <w:top w:type="dxa" w:w="140"/>
              <w:left w:type="dxa" w:w="220"/>
              <w:bottom w:type="dxa" w:w="14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Sur demande, TransferAI Africa migre vos systèmes et vos données vers le cloud avant même le démarrage de la formation. Vos équipes forment et automatisent sur une infrastructure prête — pas sur des données cloisonnées, dispersées entre fichiers Excel et serveurs locaux. Un socle technique que nous sécurisons en amont pour que votre pilote IA parte sur des bases saines.</w:t>
            </w:r>
          </w:p>
          <w:tbl>
            <w:tblPr>
              <w:tblW w:type="dxa" w:w="8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0"/>
              <w:gridCol w:w="4200"/>
            </w:tblGrid>
            <w:tr>
              <w:trPr>
                <w:tblHeader/>
              </w:trPr>
              <w:tc>
                <w:tcPr>
                  <w:tcW w:type="dxa" w:w="3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392B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Autres organismes</w:t>
                  </w:r>
                </w:p>
              </w:tc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7D6B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TransferAI Africa</w:t>
                  </w:r>
                </w:p>
              </w:tc>
            </w:tr>
            <w:tr>
              <w:tc>
                <w:tcPr>
                  <w:tcW w:type="dxa" w:w="38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EE8E8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C0392B"/>
                      <w:sz w:val="19"/>
                      <w:szCs w:val="19"/>
                    </w:rPr>
                    <w:t xml:space="preserve">✗  Migration cloud &amp; données hors périmètre. Vous restez seul face à vos données cloisonnées.</w:t>
                  </w:r>
                </w:p>
              </w:tc>
              <w:tc>
                <w:tcPr>
                  <w:tcW w:type="dxa" w:w="42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D5F0EC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04433"/>
                      <w:sz w:val="19"/>
                      <w:szCs w:val="19"/>
                    </w:rPr>
                    <w:t xml:space="preserve">✓  Migration cloud sur-mesure chez TransferAI Africa : vos équipes forment et automatisent sur une infrastructure prête.</w:t>
                  </w:r>
                </w:p>
              </w:tc>
            </w:tr>
          </w:tbl>
          <w:p/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0263F" w:sz="10" w:space="1"/>
        </w:pBdr>
        <w:spacing w:after="50" w:before="5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0263F"/>
          <w:sz w:val="24"/>
          <w:szCs w:val="24"/>
        </w:rPr>
        <w:t xml:space="preserve">RÉCAPITULATIF — CE QUE VOUS EMPORTEZ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3626"/>
        <w:gridCol w:w="3400"/>
      </w:tblGrid>
      <w:tr>
        <w:trPr>
          <w:tblHeader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63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63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Livrable</w:t>
            </w:r>
          </w:p>
        </w:tc>
        <w:tc>
          <w:tcPr>
            <w:tcW w:type="dxa" w:w="3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63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 que vous emportez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920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Quand ?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263F"/>
                <w:sz w:val="19"/>
                <w:szCs w:val="19"/>
              </w:rPr>
              <w:t xml:space="preserve">L1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0263F"/>
                <w:sz w:val="19"/>
                <w:szCs w:val="19"/>
              </w:rPr>
              <w:t xml:space="preserve">📋  Note de Cadrage IA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Vos priorités métier, cas d'usage, risques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74400"/>
                <w:sz w:val="19"/>
                <w:szCs w:val="19"/>
              </w:rPr>
              <w:t xml:space="preserve">Fin Jour 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263F"/>
                <w:sz w:val="19"/>
                <w:szCs w:val="19"/>
              </w:rPr>
              <w:t xml:space="preserve">L2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0263F"/>
                <w:sz w:val="19"/>
                <w:szCs w:val="19"/>
              </w:rPr>
              <w:t xml:space="preserve">🗺  Plan d'Action 90 jours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Jalons, KPI, responsables, critères d'extension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433"/>
                <w:sz w:val="19"/>
                <w:szCs w:val="19"/>
              </w:rPr>
              <w:t xml:space="preserve">Fin Jour 2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263F"/>
                <w:sz w:val="19"/>
                <w:szCs w:val="19"/>
              </w:rPr>
              <w:t xml:space="preserve">L3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0263F"/>
                <w:sz w:val="19"/>
                <w:szCs w:val="19"/>
              </w:rPr>
              <w:t xml:space="preserve">⚙  Flux IA Opérationnel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Un vrai workflow fonctionnel sur votre cas d'usage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74400"/>
                <w:sz w:val="19"/>
                <w:szCs w:val="19"/>
              </w:rPr>
              <w:t xml:space="preserve">Pendant les ateliers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263F"/>
                <w:sz w:val="19"/>
                <w:szCs w:val="19"/>
              </w:rPr>
              <w:t xml:space="preserve">L4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0263F"/>
                <w:sz w:val="19"/>
                <w:szCs w:val="19"/>
              </w:rPr>
              <w:t xml:space="preserve">🔒  Charte d'Usage IA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Gouvernance, confidentialité, prompts approuvés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433"/>
                <w:sz w:val="19"/>
                <w:szCs w:val="19"/>
              </w:rPr>
              <w:t xml:space="preserve">Fin Jour 2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263F"/>
                <w:sz w:val="19"/>
                <w:szCs w:val="19"/>
              </w:rPr>
              <w:t xml:space="preserve">L5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0263F"/>
                <w:sz w:val="19"/>
                <w:szCs w:val="19"/>
              </w:rPr>
              <w:t xml:space="preserve">🏅  Certification + Suivi 90j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Certification NettelecomCI + revue KPI experte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74400"/>
                <w:sz w:val="19"/>
                <w:szCs w:val="19"/>
              </w:rPr>
              <w:t xml:space="preserve">Post-formation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D6B"/>
                <w:sz w:val="19"/>
                <w:szCs w:val="19"/>
              </w:rPr>
              <w:t xml:space="preserve">L6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D6B"/>
                <w:sz w:val="19"/>
                <w:szCs w:val="19"/>
              </w:rPr>
              <w:t xml:space="preserve">🌐  Migration Cloud &amp; Données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Infrastructure cloud prête, données consolidées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74400"/>
                <w:sz w:val="19"/>
                <w:szCs w:val="19"/>
              </w:rPr>
              <w:t xml:space="preserve">Sur demande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E8920A" w:sz="10" w:space="1"/>
        </w:pBdr>
        <w:spacing w:after="50" w:before="5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63F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920A"/>
                <w:sz w:val="23"/>
                <w:szCs w:val="23"/>
              </w:rPr>
              <w:t xml:space="preserve">Notre Promesse Centrale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Vous repartez avec 5 livrables utilisables le lendemain,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un premier pilote lancé et un expert qui vous accompagne 90 jours.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20"/>
                <w:szCs w:val="20"/>
              </w:rPr>
              <w:t xml:space="preserve">Une formation classique transmet un contenu. TransferAI transforme votre organisation.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60"/>
        <w:jc w:val="center"/>
      </w:pPr>
      <w:r>
        <w:rPr>
          <w:rFonts w:ascii="Arial" w:cs="Arial" w:eastAsia="Arial" w:hAnsi="Arial"/>
          <w:b/>
          <w:bCs/>
          <w:color w:val="10263F"/>
          <w:sz w:val="21"/>
          <w:szCs w:val="21"/>
        </w:rPr>
        <w:t xml:space="preserve">Audit IA Gratuit —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Prenez rendez-vous : </w:t>
      </w:r>
      <w:r>
        <w:rPr>
          <w:rFonts w:ascii="Arial" w:cs="Arial" w:eastAsia="Arial" w:hAnsi="Arial"/>
          <w:b/>
          <w:bCs/>
          <w:color w:val="0D7D6B"/>
          <w:sz w:val="21"/>
          <w:szCs w:val="21"/>
        </w:rPr>
        <w:t xml:space="preserve">calendly.com/contact-transferai/30min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contact@transferai.africa  |  www.transferai.ci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920A" w:sz="6" w:space="1"/>
      </w:pBdr>
      <w:tabs>
        <w:tab w:val="right" w:pos="9026"/>
      </w:tabs>
      <w:spacing w:after="0" w:before="80"/>
    </w:pPr>
    <w:r>
      <w:rPr>
        <w:rFonts w:ascii="Arial" w:cs="Arial" w:eastAsia="Arial" w:hAnsi="Arial"/>
        <w:i/>
        <w:iCs/>
        <w:color w:val="888888"/>
        <w:sz w:val="17"/>
        <w:szCs w:val="17"/>
      </w:rPr>
      <w:t xml:space="preserve">Document confidentiel — TransferAI Africa — contact@transferai.africa</w:t>
    </w:r>
    <w:r>
      <w:rPr>
        <w:rFonts w:ascii="Arial" w:cs="Arial" w:eastAsia="Arial" w:hAnsi="Arial"/>
        <w:color w:val="888888"/>
        <w:sz w:val="17"/>
        <w:szCs w:val="17"/>
      </w:rPr>
      <w:t xml:space="preserve">	Page </w:t>
    </w:r>
    <w:r>
      <w:rPr>
        <w:rFonts w:ascii="Arial" w:cs="Arial" w:eastAsia="Arial" w:hAnsi="Arial"/>
        <w:b/>
        <w:bCs/>
        <w:color w:val="10263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0263F" w:sz="8" w:space="1"/>
      </w:pBd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olor w:val="10263F"/>
        <w:sz w:val="18"/>
        <w:szCs w:val="18"/>
      </w:rPr>
      <w:t xml:space="preserve">TransferAI Africa  |  Livrables &amp; Promesses de Formation</w:t>
    </w:r>
    <w:r>
      <w:rPr>
        <w:rFonts w:ascii="Arial" w:cs="Arial" w:eastAsia="Arial" w:hAnsi="Arial"/>
        <w:color w:val="888888"/>
        <w:sz w:val="17"/>
        <w:szCs w:val="17"/>
      </w:rPr>
      <w:t xml:space="preserve">	Formation IA — Juillet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2026-07-03T13:53:50.190Z</dcterms:created>
  <dcterms:modified xsi:type="dcterms:W3CDTF">2026-07-03T13:53:50.196Z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