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0263F"/>
          <w:sz w:val="34"/>
          <w:szCs w:val="34"/>
        </w:rPr>
        <w:t xml:space="preserve">TransferAI Africa</w:t>
      </w:r>
    </w:p>
    <w:p>
      <w:pPr>
        <w:spacing w:after="200"/>
      </w:pPr>
      <w:r>
        <w:rPr>
          <w:rFonts w:ascii="Arial" w:cs="Arial" w:eastAsia="Arial" w:hAnsi="Arial"/>
          <w:i/>
          <w:iCs/>
          <w:color w:val="555555"/>
          <w:sz w:val="20"/>
          <w:szCs w:val="20"/>
        </w:rPr>
        <w:t xml:space="preserve">Hub IA de NettelecomCI en Côte d'Ivoire</w:t>
      </w:r>
    </w:p>
    <w:p>
      <w:pPr>
        <w:spacing w:after="60"/>
      </w:pPr>
      <w:r>
        <w:rPr>
          <w:rFonts w:ascii="Arial" w:cs="Arial" w:eastAsia="Arial" w:hAnsi="Arial"/>
          <w:b/>
          <w:bCs/>
          <w:color w:val="10263F"/>
          <w:sz w:val="30"/>
          <w:szCs w:val="30"/>
        </w:rPr>
        <w:t xml:space="preserve">CE QUI NOUS DIFFÉRENCIE</w:t>
      </w:r>
    </w:p>
    <w:p>
      <w:pPr>
        <w:spacing w:after="160"/>
      </w:pPr>
      <w:r>
        <w:rPr>
          <w:rFonts w:ascii="Arial" w:cs="Arial" w:eastAsia="Arial" w:hAnsi="Arial"/>
          <w:i/>
          <w:iCs/>
          <w:color w:val="333333"/>
          <w:sz w:val="21"/>
          <w:szCs w:val="21"/>
        </w:rPr>
        <w:t xml:space="preserve">Notre positionnement face aux autres organismes de formation en intelligence artificielle</w:t>
      </w:r>
    </w:p>
    <w:p>
      <w:pPr>
        <w:spacing w:after="220"/>
      </w:pPr>
      <w:r>
        <w:rPr>
          <w:rFonts w:ascii="Arial" w:cs="Arial" w:eastAsia="Arial" w:hAnsi="Arial"/>
          <w:color w:val="222222"/>
          <w:sz w:val="21"/>
          <w:szCs w:val="21"/>
        </w:rPr>
        <w:t xml:space="preserve">Beaucoup d'acteurs proposent aujourd'hui des formations en intelligence artificielle en Côte d'Ivoire. La différence ne se joue pas sur le contenu des slides, mais sur ce qui reste concrètement entre les mains du participant et de son organisation une fois la formation terminée. Voici, point par point, ce qui distingue TransferAI Africa.</w:t>
      </w:r>
    </w:p>
    <w:tbl>
      <w:tblPr>
        <w:tblW w:type="dxa" w:w="9026"/>
        <w:tblBorders>
          <w:top w:val="single" w:color="CCCCCC" w:sz="1"/>
          <w:left w:val="single" w:color="CCCCCC" w:sz="1"/>
          <w:bottom w:val="single" w:color="CCCCCC" w:sz="1"/>
          <w:right w:val="single" w:color="CCCCCC" w:sz="1"/>
          <w:insideH w:val="single" w:color="auto" w:sz="4"/>
          <w:insideV w:val="single" w:color="auto" w:sz="4"/>
        </w:tblBorders>
      </w:tblPr>
      <w:tblGrid>
        <w:gridCol w:w="680"/>
        <w:gridCol w:w="8346"/>
      </w:tblGrid>
      <w:tr>
        <w:tc>
          <w:tcPr>
            <w:tcW w:type="dxa" w:w="680"/>
            <w:tcBorders>
              <w:top w:val="single" w:color="FFFFFF" w:sz="0"/>
              <w:left w:val="single" w:color="FFFFFF" w:sz="0"/>
              <w:bottom w:val="single" w:color="FFFFFF" w:sz="0"/>
              <w:right w:val="single" w:color="FFFFFF" w:sz="0"/>
            </w:tcBorders>
            <w:shd w:fill="10263F" w:val="clear"/>
            <w:tcMar>
              <w:top w:type="dxa" w:w="140"/>
              <w:left w:type="dxa" w:w="80"/>
              <w:bottom w:type="dxa" w:w="0"/>
              <w:right w:type="dxa" w:w="80"/>
            </w:tcMar>
            <w:vAlign w:val="center"/>
          </w:tcPr>
          <w:p>
            <w:pPr>
              <w:jc w:val="center"/>
            </w:pPr>
            <w:r>
              <w:rPr>
                <w:rFonts w:ascii="Arial" w:cs="Arial" w:eastAsia="Arial" w:hAnsi="Arial"/>
                <w:b/>
                <w:bCs/>
                <w:color w:val="FFFFFF"/>
                <w:sz w:val="40"/>
                <w:szCs w:val="40"/>
              </w:rPr>
              <w:t xml:space="preserve">1</w:t>
            </w:r>
          </w:p>
          <w:p>
            <w:pPr>
              <w:spacing w:before="20"/>
              <w:jc w:val="center"/>
            </w:pPr>
            <w:r>
              <w:rPr>
                <w:rFonts w:ascii="Arial" w:cs="Arial" w:eastAsia="Arial" w:hAnsi="Arial"/>
                <w:sz w:val="24"/>
                <w:szCs w:val="24"/>
              </w:rPr>
              <w:t xml:space="preserve">🎯</w:t>
            </w:r>
          </w:p>
        </w:tc>
        <w:tc>
          <w:tcPr>
            <w:tcW w:type="dxa" w:w="8346"/>
            <w:tcBorders>
              <w:top w:val="single" w:color="FFFFFF" w:sz="0"/>
              <w:left w:val="single" w:color="FFFFFF" w:sz="0"/>
              <w:bottom w:val="single" w:color="CCCCCC" w:sz="1"/>
              <w:right w:val="single" w:color="FFFFFF" w:sz="0"/>
            </w:tcBorders>
            <w:shd w:fill="10263F" w:val="clear"/>
            <w:tcMar>
              <w:top w:type="dxa" w:w="120"/>
              <w:left w:type="dxa" w:w="220"/>
              <w:bottom w:type="dxa" w:w="80"/>
              <w:right w:type="dxa" w:w="160"/>
            </w:tcMar>
          </w:tcPr>
          <w:p>
            <w:pPr>
              <w:spacing w:after="0"/>
            </w:pPr>
            <w:r>
              <w:rPr>
                <w:rFonts w:ascii="Arial" w:cs="Arial" w:eastAsia="Arial" w:hAnsi="Arial"/>
                <w:b/>
                <w:bCs/>
                <w:color w:val="FFFFFF"/>
                <w:sz w:val="24"/>
                <w:szCs w:val="24"/>
              </w:rPr>
              <w:t xml:space="preserve">Un diagnostic sur mesure, pas un contenu générique</w:t>
            </w:r>
          </w:p>
        </w:tc>
      </w:tr>
      <w:tr>
        <w:tc>
          <w:tcPr>
            <w:tcW w:type="dxa" w:w="680"/>
            <w:tcBorders>
              <w:top w:val="single" w:color="FFFFFF" w:sz="0"/>
              <w:left w:val="single" w:color="FFFFFF" w:sz="0"/>
              <w:bottom w:val="single" w:color="FFFFFF" w:sz="0"/>
              <w:right w:val="single" w:color="FFFFFF" w:sz="0"/>
            </w:tcBorders>
          </w:tcPr>
          <w:p>
            <w:r>
              <w:t xml:space="preserve"/>
            </w:r>
          </w:p>
        </w:tc>
        <w:tc>
          <w:tcPr>
            <w:tcW w:type="dxa" w:w="8346"/>
            <w:tcBorders>
              <w:top w:val="single" w:color="FFFFFF" w:sz="0"/>
              <w:left w:val="single" w:color="10263F" w:sz="20"/>
              <w:bottom w:val="single" w:color="FFFFFF" w:sz="0"/>
              <w:right w:val="single" w:color="FFFFFF" w:sz="0"/>
            </w:tcBorders>
            <w:shd w:fill="D6E4F0" w:val="clear"/>
            <w:tcMar>
              <w:top w:type="dxa" w:w="140"/>
              <w:left w:type="dxa" w:w="220"/>
              <w:bottom w:type="dxa" w:w="100"/>
              <w:right w:type="dxa" w:w="160"/>
            </w:tcMar>
          </w:tcPr>
          <w:p>
            <w:pPr>
              <w:spacing w:after="120"/>
            </w:pPr>
            <w:r>
              <w:rPr>
                <w:rFonts w:ascii="Arial" w:cs="Arial" w:eastAsia="Arial" w:hAnsi="Arial"/>
                <w:color w:val="222222"/>
                <w:sz w:val="21"/>
                <w:szCs w:val="21"/>
              </w:rPr>
              <w:t xml:space="preserve">Chaque participant repart avec une note de cadrage qui identifie ses cas d'usage prioritaires, ses risques et ses premières décisions, construite à partir de sa réalité de terrain et non d'un support théorique interchangeable.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800"/>
              <w:gridCol w:w="4200"/>
            </w:tblGrid>
            <w:tr>
              <w:tc>
                <w:tcPr>
                  <w:tcW w:type="dxa" w:w="3800"/>
                  <w:tcBorders>
                    <w:top w:val="single" w:color="CCCCCC" w:sz="1"/>
                    <w:left w:val="single" w:color="CCCCCC" w:sz="1"/>
                    <w:bottom w:val="single" w:color="CCCCCC" w:sz="1"/>
                    <w:right w:val="single" w:color="CCCCCC" w:sz="1"/>
                  </w:tcBorders>
                  <w:shd w:fill="C0392B" w:val="clear"/>
                  <w:tcMar>
                    <w:top w:type="dxa" w:w="60"/>
                    <w:left w:type="dxa" w:w="120"/>
                    <w:bottom w:type="dxa" w:w="60"/>
                    <w:right w:type="dxa" w:w="80"/>
                  </w:tcMar>
                </w:tcPr>
                <w:p>
                  <w:pPr>
                    <w:jc w:val="center"/>
                  </w:pPr>
                  <w:r>
                    <w:rPr>
                      <w:rFonts w:ascii="Arial" w:cs="Arial" w:eastAsia="Arial" w:hAnsi="Arial"/>
                      <w:b/>
                      <w:bCs/>
                      <w:color w:val="FFFFFF"/>
                      <w:sz w:val="18"/>
                      <w:szCs w:val="18"/>
                    </w:rPr>
                    <w:t xml:space="preserve">Autres organismes</w:t>
                  </w:r>
                </w:p>
              </w:tc>
              <w:tc>
                <w:tcPr>
                  <w:tcW w:type="dxa" w:w="4200"/>
                  <w:tcBorders>
                    <w:top w:val="single" w:color="CCCCCC" w:sz="1"/>
                    <w:left w:val="single" w:color="CCCCCC" w:sz="1"/>
                    <w:bottom w:val="single" w:color="CCCCCC" w:sz="1"/>
                    <w:right w:val="single" w:color="CCCCCC" w:sz="1"/>
                  </w:tcBorders>
                  <w:shd w:fill="0D7D6B" w:val="clear"/>
                  <w:tcMar>
                    <w:top w:type="dxa" w:w="60"/>
                    <w:left w:type="dxa" w:w="120"/>
                    <w:bottom w:type="dxa" w:w="60"/>
                    <w:right w:type="dxa" w:w="80"/>
                  </w:tcMar>
                </w:tcPr>
                <w:p>
                  <w:pPr>
                    <w:jc w:val="center"/>
                  </w:pPr>
                  <w:r>
                    <w:rPr>
                      <w:rFonts w:ascii="Arial" w:cs="Arial" w:eastAsia="Arial" w:hAnsi="Arial"/>
                      <w:b/>
                      <w:bCs/>
                      <w:color w:val="FFFFFF"/>
                      <w:sz w:val="18"/>
                      <w:szCs w:val="18"/>
                    </w:rPr>
                    <w:t xml:space="preserve">TransferAI Africa</w:t>
                  </w:r>
                </w:p>
              </w:tc>
            </w:tr>
            <w:tr>
              <w:tc>
                <w:tcPr>
                  <w:tcW w:type="dxa" w:w="380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80"/>
                  </w:tcMar>
                </w:tcPr>
                <w:p>
                  <w:r>
                    <w:rPr>
                      <w:rFonts w:ascii="Arial" w:cs="Arial" w:eastAsia="Arial" w:hAnsi="Arial"/>
                      <w:color w:val="C0392B"/>
                      <w:sz w:val="19"/>
                      <w:szCs w:val="19"/>
                    </w:rPr>
                    <w:t xml:space="preserve">✗  Un programme identique pour tous les participants, quel que soit leur métier ou leur organisation.</w:t>
                  </w:r>
                </w:p>
              </w:tc>
              <w:tc>
                <w:tcPr>
                  <w:tcW w:type="dxa" w:w="4200"/>
                  <w:tcBorders>
                    <w:top w:val="single" w:color="CCCCCC" w:sz="1"/>
                    <w:left w:val="single" w:color="CCCCCC" w:sz="1"/>
                    <w:bottom w:val="single" w:color="CCCCCC" w:sz="1"/>
                    <w:right w:val="single" w:color="CCCCCC" w:sz="1"/>
                  </w:tcBorders>
                  <w:shd w:fill="D5F0EC" w:val="clear"/>
                  <w:tcMar>
                    <w:top w:type="dxa" w:w="80"/>
                    <w:left w:type="dxa" w:w="120"/>
                    <w:bottom w:type="dxa" w:w="80"/>
                    <w:right w:type="dxa" w:w="80"/>
                  </w:tcMar>
                </w:tcPr>
                <w:p>
                  <w:r>
                    <w:rPr>
                      <w:rFonts w:ascii="Arial" w:cs="Arial" w:eastAsia="Arial" w:hAnsi="Arial"/>
                      <w:b/>
                      <w:bCs/>
                      <w:color w:val="004433"/>
                      <w:sz w:val="19"/>
                      <w:szCs w:val="19"/>
                    </w:rPr>
                    <w:t xml:space="preserve">✓  Une note de cadrage personnalisée : vos priorités, vos cas d'usage, votre contexte réel.</w:t>
                  </w:r>
                </w:p>
              </w:tc>
            </w:tr>
          </w:tbl>
          <w:p>
            <w:r>
              <w:t xml:space="preserve"/>
            </w:r>
          </w:p>
        </w:tc>
      </w:tr>
    </w:tbl>
    <w:p>
      <w:pPr>
        <w:spacing w:after="160"/>
      </w:pPr>
      <w:r>
        <w:t xml:space="preserve"/>
      </w:r>
    </w:p>
    <w:tbl>
      <w:tblPr>
        <w:tblW w:type="dxa" w:w="9026"/>
        <w:tblBorders>
          <w:top w:val="single" w:color="CCCCCC" w:sz="1"/>
          <w:left w:val="single" w:color="CCCCCC" w:sz="1"/>
          <w:bottom w:val="single" w:color="CCCCCC" w:sz="1"/>
          <w:right w:val="single" w:color="CCCCCC" w:sz="1"/>
          <w:insideH w:val="single" w:color="auto" w:sz="4"/>
          <w:insideV w:val="single" w:color="auto" w:sz="4"/>
        </w:tblBorders>
      </w:tblPr>
      <w:tblGrid>
        <w:gridCol w:w="680"/>
        <w:gridCol w:w="8346"/>
      </w:tblGrid>
      <w:tr>
        <w:tc>
          <w:tcPr>
            <w:tcW w:type="dxa" w:w="680"/>
            <w:tcBorders>
              <w:top w:val="single" w:color="FFFFFF" w:sz="0"/>
              <w:left w:val="single" w:color="FFFFFF" w:sz="0"/>
              <w:bottom w:val="single" w:color="FFFFFF" w:sz="0"/>
              <w:right w:val="single" w:color="FFFFFF" w:sz="0"/>
            </w:tcBorders>
            <w:shd w:fill="E8920A" w:val="clear"/>
            <w:tcMar>
              <w:top w:type="dxa" w:w="140"/>
              <w:left w:type="dxa" w:w="80"/>
              <w:bottom w:type="dxa" w:w="0"/>
              <w:right w:type="dxa" w:w="80"/>
            </w:tcMar>
            <w:vAlign w:val="center"/>
          </w:tcPr>
          <w:p>
            <w:pPr>
              <w:jc w:val="center"/>
            </w:pPr>
            <w:r>
              <w:rPr>
                <w:rFonts w:ascii="Arial" w:cs="Arial" w:eastAsia="Arial" w:hAnsi="Arial"/>
                <w:b/>
                <w:bCs/>
                <w:color w:val="FFFFFF"/>
                <w:sz w:val="40"/>
                <w:szCs w:val="40"/>
              </w:rPr>
              <w:t xml:space="preserve">2</w:t>
            </w:r>
          </w:p>
          <w:p>
            <w:pPr>
              <w:spacing w:before="20"/>
              <w:jc w:val="center"/>
            </w:pPr>
            <w:r>
              <w:rPr>
                <w:rFonts w:ascii="Arial" w:cs="Arial" w:eastAsia="Arial" w:hAnsi="Arial"/>
                <w:sz w:val="24"/>
                <w:szCs w:val="24"/>
              </w:rPr>
              <w:t xml:space="preserve">🗺</w:t>
            </w:r>
          </w:p>
        </w:tc>
        <w:tc>
          <w:tcPr>
            <w:tcW w:type="dxa" w:w="8346"/>
            <w:tcBorders>
              <w:top w:val="single" w:color="FFFFFF" w:sz="0"/>
              <w:left w:val="single" w:color="FFFFFF" w:sz="0"/>
              <w:bottom w:val="single" w:color="CCCCCC" w:sz="1"/>
              <w:right w:val="single" w:color="FFFFFF" w:sz="0"/>
            </w:tcBorders>
            <w:shd w:fill="E8920A" w:val="clear"/>
            <w:tcMar>
              <w:top w:type="dxa" w:w="120"/>
              <w:left w:type="dxa" w:w="220"/>
              <w:bottom w:type="dxa" w:w="80"/>
              <w:right w:type="dxa" w:w="160"/>
            </w:tcMar>
          </w:tcPr>
          <w:p>
            <w:pPr>
              <w:spacing w:after="0"/>
            </w:pPr>
            <w:r>
              <w:rPr>
                <w:rFonts w:ascii="Arial" w:cs="Arial" w:eastAsia="Arial" w:hAnsi="Arial"/>
                <w:b/>
                <w:bCs/>
                <w:color w:val="FFFFFF"/>
                <w:sz w:val="24"/>
                <w:szCs w:val="24"/>
              </w:rPr>
              <w:t xml:space="preserve">Une trajectoire à quatre-vingt-dix jours, pas une simple sensibilisation</w:t>
            </w:r>
          </w:p>
        </w:tc>
      </w:tr>
      <w:tr>
        <w:tc>
          <w:tcPr>
            <w:tcW w:type="dxa" w:w="680"/>
            <w:tcBorders>
              <w:top w:val="single" w:color="FFFFFF" w:sz="0"/>
              <w:left w:val="single" w:color="FFFFFF" w:sz="0"/>
              <w:bottom w:val="single" w:color="FFFFFF" w:sz="0"/>
              <w:right w:val="single" w:color="FFFFFF" w:sz="0"/>
            </w:tcBorders>
          </w:tcPr>
          <w:p>
            <w:r>
              <w:t xml:space="preserve"/>
            </w:r>
          </w:p>
        </w:tc>
        <w:tc>
          <w:tcPr>
            <w:tcW w:type="dxa" w:w="8346"/>
            <w:tcBorders>
              <w:top w:val="single" w:color="FFFFFF" w:sz="0"/>
              <w:left w:val="single" w:color="E8920A" w:sz="20"/>
              <w:bottom w:val="single" w:color="FFFFFF" w:sz="0"/>
              <w:right w:val="single" w:color="FFFFFF" w:sz="0"/>
            </w:tcBorders>
            <w:shd w:fill="FEF3DC" w:val="clear"/>
            <w:tcMar>
              <w:top w:type="dxa" w:w="140"/>
              <w:left w:type="dxa" w:w="220"/>
              <w:bottom w:type="dxa" w:w="100"/>
              <w:right w:type="dxa" w:w="160"/>
            </w:tcMar>
          </w:tcPr>
          <w:p>
            <w:pPr>
              <w:spacing w:after="120"/>
            </w:pPr>
            <w:r>
              <w:rPr>
                <w:rFonts w:ascii="Arial" w:cs="Arial" w:eastAsia="Arial" w:hAnsi="Arial"/>
                <w:color w:val="222222"/>
                <w:sz w:val="21"/>
                <w:szCs w:val="21"/>
              </w:rPr>
              <w:t xml:space="preserve">La formation ne s'arrête pas à la théorie. Chaque organisation repart avec un plan d'action daté, avec des jalons, des indicateurs de performance et des responsables identifiés, défendable devant une direction dès le lendemain.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800"/>
              <w:gridCol w:w="4200"/>
            </w:tblGrid>
            <w:tr>
              <w:tc>
                <w:tcPr>
                  <w:tcW w:type="dxa" w:w="3800"/>
                  <w:tcBorders>
                    <w:top w:val="single" w:color="CCCCCC" w:sz="1"/>
                    <w:left w:val="single" w:color="CCCCCC" w:sz="1"/>
                    <w:bottom w:val="single" w:color="CCCCCC" w:sz="1"/>
                    <w:right w:val="single" w:color="CCCCCC" w:sz="1"/>
                  </w:tcBorders>
                  <w:shd w:fill="C0392B" w:val="clear"/>
                  <w:tcMar>
                    <w:top w:type="dxa" w:w="60"/>
                    <w:left w:type="dxa" w:w="120"/>
                    <w:bottom w:type="dxa" w:w="60"/>
                    <w:right w:type="dxa" w:w="80"/>
                  </w:tcMar>
                </w:tcPr>
                <w:p>
                  <w:pPr>
                    <w:jc w:val="center"/>
                  </w:pPr>
                  <w:r>
                    <w:rPr>
                      <w:rFonts w:ascii="Arial" w:cs="Arial" w:eastAsia="Arial" w:hAnsi="Arial"/>
                      <w:b/>
                      <w:bCs/>
                      <w:color w:val="FFFFFF"/>
                      <w:sz w:val="18"/>
                      <w:szCs w:val="18"/>
                    </w:rPr>
                    <w:t xml:space="preserve">Autres organismes</w:t>
                  </w:r>
                </w:p>
              </w:tc>
              <w:tc>
                <w:tcPr>
                  <w:tcW w:type="dxa" w:w="4200"/>
                  <w:tcBorders>
                    <w:top w:val="single" w:color="CCCCCC" w:sz="1"/>
                    <w:left w:val="single" w:color="CCCCCC" w:sz="1"/>
                    <w:bottom w:val="single" w:color="CCCCCC" w:sz="1"/>
                    <w:right w:val="single" w:color="CCCCCC" w:sz="1"/>
                  </w:tcBorders>
                  <w:shd w:fill="0D7D6B" w:val="clear"/>
                  <w:tcMar>
                    <w:top w:type="dxa" w:w="60"/>
                    <w:left w:type="dxa" w:w="120"/>
                    <w:bottom w:type="dxa" w:w="60"/>
                    <w:right w:type="dxa" w:w="80"/>
                  </w:tcMar>
                </w:tcPr>
                <w:p>
                  <w:pPr>
                    <w:jc w:val="center"/>
                  </w:pPr>
                  <w:r>
                    <w:rPr>
                      <w:rFonts w:ascii="Arial" w:cs="Arial" w:eastAsia="Arial" w:hAnsi="Arial"/>
                      <w:b/>
                      <w:bCs/>
                      <w:color w:val="FFFFFF"/>
                      <w:sz w:val="18"/>
                      <w:szCs w:val="18"/>
                    </w:rPr>
                    <w:t xml:space="preserve">TransferAI Africa</w:t>
                  </w:r>
                </w:p>
              </w:tc>
            </w:tr>
            <w:tr>
              <w:tc>
                <w:tcPr>
                  <w:tcW w:type="dxa" w:w="380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80"/>
                  </w:tcMar>
                </w:tcPr>
                <w:p>
                  <w:r>
                    <w:rPr>
                      <w:rFonts w:ascii="Arial" w:cs="Arial" w:eastAsia="Arial" w:hAnsi="Arial"/>
                      <w:color w:val="C0392B"/>
                      <w:sz w:val="19"/>
                      <w:szCs w:val="19"/>
                    </w:rPr>
                    <w:t xml:space="preserve">✗  Un contenu pédagogique transmis en salle, sans suivi opérationnel après la formation.</w:t>
                  </w:r>
                </w:p>
              </w:tc>
              <w:tc>
                <w:tcPr>
                  <w:tcW w:type="dxa" w:w="4200"/>
                  <w:tcBorders>
                    <w:top w:val="single" w:color="CCCCCC" w:sz="1"/>
                    <w:left w:val="single" w:color="CCCCCC" w:sz="1"/>
                    <w:bottom w:val="single" w:color="CCCCCC" w:sz="1"/>
                    <w:right w:val="single" w:color="CCCCCC" w:sz="1"/>
                  </w:tcBorders>
                  <w:shd w:fill="D5F0EC" w:val="clear"/>
                  <w:tcMar>
                    <w:top w:type="dxa" w:w="80"/>
                    <w:left w:type="dxa" w:w="120"/>
                    <w:bottom w:type="dxa" w:w="80"/>
                    <w:right w:type="dxa" w:w="80"/>
                  </w:tcMar>
                </w:tcPr>
                <w:p>
                  <w:r>
                    <w:rPr>
                      <w:rFonts w:ascii="Arial" w:cs="Arial" w:eastAsia="Arial" w:hAnsi="Arial"/>
                      <w:b/>
                      <w:bCs/>
                      <w:color w:val="004433"/>
                      <w:sz w:val="19"/>
                      <w:szCs w:val="19"/>
                    </w:rPr>
                    <w:t xml:space="preserve">✓  Un plan d'action à quatre-vingt-dix jours avec jalons, indicateurs et responsables.</w:t>
                  </w:r>
                </w:p>
              </w:tc>
            </w:tr>
          </w:tbl>
          <w:p>
            <w:r>
              <w:t xml:space="preserve"/>
            </w:r>
          </w:p>
        </w:tc>
      </w:tr>
    </w:tbl>
    <w:p>
      <w:pPr>
        <w:spacing w:after="160"/>
      </w:pPr>
      <w:r>
        <w:t xml:space="preserve"/>
      </w:r>
    </w:p>
    <w:tbl>
      <w:tblPr>
        <w:tblW w:type="dxa" w:w="9026"/>
        <w:tblBorders>
          <w:top w:val="single" w:color="CCCCCC" w:sz="1"/>
          <w:left w:val="single" w:color="CCCCCC" w:sz="1"/>
          <w:bottom w:val="single" w:color="CCCCCC" w:sz="1"/>
          <w:right w:val="single" w:color="CCCCCC" w:sz="1"/>
          <w:insideH w:val="single" w:color="auto" w:sz="4"/>
          <w:insideV w:val="single" w:color="auto" w:sz="4"/>
        </w:tblBorders>
      </w:tblPr>
      <w:tblGrid>
        <w:gridCol w:w="680"/>
        <w:gridCol w:w="8346"/>
      </w:tblGrid>
      <w:tr>
        <w:tc>
          <w:tcPr>
            <w:tcW w:type="dxa" w:w="680"/>
            <w:tcBorders>
              <w:top w:val="single" w:color="FFFFFF" w:sz="0"/>
              <w:left w:val="single" w:color="FFFFFF" w:sz="0"/>
              <w:bottom w:val="single" w:color="FFFFFF" w:sz="0"/>
              <w:right w:val="single" w:color="FFFFFF" w:sz="0"/>
            </w:tcBorders>
            <w:shd w:fill="0D7D6B" w:val="clear"/>
            <w:tcMar>
              <w:top w:type="dxa" w:w="140"/>
              <w:left w:type="dxa" w:w="80"/>
              <w:bottom w:type="dxa" w:w="0"/>
              <w:right w:type="dxa" w:w="80"/>
            </w:tcMar>
            <w:vAlign w:val="center"/>
          </w:tcPr>
          <w:p>
            <w:pPr>
              <w:jc w:val="center"/>
            </w:pPr>
            <w:r>
              <w:rPr>
                <w:rFonts w:ascii="Arial" w:cs="Arial" w:eastAsia="Arial" w:hAnsi="Arial"/>
                <w:b/>
                <w:bCs/>
                <w:color w:val="FFFFFF"/>
                <w:sz w:val="40"/>
                <w:szCs w:val="40"/>
              </w:rPr>
              <w:t xml:space="preserve">3</w:t>
            </w:r>
          </w:p>
          <w:p>
            <w:pPr>
              <w:spacing w:before="20"/>
              <w:jc w:val="center"/>
            </w:pPr>
            <w:r>
              <w:rPr>
                <w:rFonts w:ascii="Arial" w:cs="Arial" w:eastAsia="Arial" w:hAnsi="Arial"/>
                <w:sz w:val="24"/>
                <w:szCs w:val="24"/>
              </w:rPr>
              <w:t xml:space="preserve">⚙</w:t>
            </w:r>
          </w:p>
        </w:tc>
        <w:tc>
          <w:tcPr>
            <w:tcW w:type="dxa" w:w="8346"/>
            <w:tcBorders>
              <w:top w:val="single" w:color="FFFFFF" w:sz="0"/>
              <w:left w:val="single" w:color="FFFFFF" w:sz="0"/>
              <w:bottom w:val="single" w:color="CCCCCC" w:sz="1"/>
              <w:right w:val="single" w:color="FFFFFF" w:sz="0"/>
            </w:tcBorders>
            <w:shd w:fill="0D7D6B" w:val="clear"/>
            <w:tcMar>
              <w:top w:type="dxa" w:w="120"/>
              <w:left w:type="dxa" w:w="220"/>
              <w:bottom w:type="dxa" w:w="80"/>
              <w:right w:type="dxa" w:w="160"/>
            </w:tcMar>
          </w:tcPr>
          <w:p>
            <w:pPr>
              <w:spacing w:after="0"/>
            </w:pPr>
            <w:r>
              <w:rPr>
                <w:rFonts w:ascii="Arial" w:cs="Arial" w:eastAsia="Arial" w:hAnsi="Arial"/>
                <w:b/>
                <w:bCs/>
                <w:color w:val="FFFFFF"/>
                <w:sz w:val="24"/>
                <w:szCs w:val="24"/>
              </w:rPr>
              <w:t xml:space="preserve">Un cas d'usage réel automatisé, pas une démonstration</w:t>
            </w:r>
          </w:p>
        </w:tc>
      </w:tr>
      <w:tr>
        <w:tc>
          <w:tcPr>
            <w:tcW w:type="dxa" w:w="680"/>
            <w:tcBorders>
              <w:top w:val="single" w:color="FFFFFF" w:sz="0"/>
              <w:left w:val="single" w:color="FFFFFF" w:sz="0"/>
              <w:bottom w:val="single" w:color="FFFFFF" w:sz="0"/>
              <w:right w:val="single" w:color="FFFFFF" w:sz="0"/>
            </w:tcBorders>
          </w:tcPr>
          <w:p>
            <w:r>
              <w:t xml:space="preserve"/>
            </w:r>
          </w:p>
        </w:tc>
        <w:tc>
          <w:tcPr>
            <w:tcW w:type="dxa" w:w="8346"/>
            <w:tcBorders>
              <w:top w:val="single" w:color="FFFFFF" w:sz="0"/>
              <w:left w:val="single" w:color="0D7D6B" w:sz="20"/>
              <w:bottom w:val="single" w:color="FFFFFF" w:sz="0"/>
              <w:right w:val="single" w:color="FFFFFF" w:sz="0"/>
            </w:tcBorders>
            <w:shd w:fill="D5F0EC" w:val="clear"/>
            <w:tcMar>
              <w:top w:type="dxa" w:w="140"/>
              <w:left w:type="dxa" w:w="220"/>
              <w:bottom w:type="dxa" w:w="100"/>
              <w:right w:type="dxa" w:w="160"/>
            </w:tcMar>
          </w:tcPr>
          <w:p>
            <w:pPr>
              <w:spacing w:after="120"/>
            </w:pPr>
            <w:r>
              <w:rPr>
                <w:rFonts w:ascii="Arial" w:cs="Arial" w:eastAsia="Arial" w:hAnsi="Arial"/>
                <w:color w:val="222222"/>
                <w:sz w:val="21"/>
                <w:szCs w:val="21"/>
              </w:rPr>
              <w:t xml:space="preserve">Pendant les ateliers, les équipes ne regardent pas un outil fonctionner sur un exemple générique : elles construisent et font tourner un flux d'intelligence artificielle sur leur propre cas d'usage métier.</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800"/>
              <w:gridCol w:w="4200"/>
            </w:tblGrid>
            <w:tr>
              <w:tc>
                <w:tcPr>
                  <w:tcW w:type="dxa" w:w="3800"/>
                  <w:tcBorders>
                    <w:top w:val="single" w:color="CCCCCC" w:sz="1"/>
                    <w:left w:val="single" w:color="CCCCCC" w:sz="1"/>
                    <w:bottom w:val="single" w:color="CCCCCC" w:sz="1"/>
                    <w:right w:val="single" w:color="CCCCCC" w:sz="1"/>
                  </w:tcBorders>
                  <w:shd w:fill="C0392B" w:val="clear"/>
                  <w:tcMar>
                    <w:top w:type="dxa" w:w="60"/>
                    <w:left w:type="dxa" w:w="120"/>
                    <w:bottom w:type="dxa" w:w="60"/>
                    <w:right w:type="dxa" w:w="80"/>
                  </w:tcMar>
                </w:tcPr>
                <w:p>
                  <w:pPr>
                    <w:jc w:val="center"/>
                  </w:pPr>
                  <w:r>
                    <w:rPr>
                      <w:rFonts w:ascii="Arial" w:cs="Arial" w:eastAsia="Arial" w:hAnsi="Arial"/>
                      <w:b/>
                      <w:bCs/>
                      <w:color w:val="FFFFFF"/>
                      <w:sz w:val="18"/>
                      <w:szCs w:val="18"/>
                    </w:rPr>
                    <w:t xml:space="preserve">Autres organismes</w:t>
                  </w:r>
                </w:p>
              </w:tc>
              <w:tc>
                <w:tcPr>
                  <w:tcW w:type="dxa" w:w="4200"/>
                  <w:tcBorders>
                    <w:top w:val="single" w:color="CCCCCC" w:sz="1"/>
                    <w:left w:val="single" w:color="CCCCCC" w:sz="1"/>
                    <w:bottom w:val="single" w:color="CCCCCC" w:sz="1"/>
                    <w:right w:val="single" w:color="CCCCCC" w:sz="1"/>
                  </w:tcBorders>
                  <w:shd w:fill="0D7D6B" w:val="clear"/>
                  <w:tcMar>
                    <w:top w:type="dxa" w:w="60"/>
                    <w:left w:type="dxa" w:w="120"/>
                    <w:bottom w:type="dxa" w:w="60"/>
                    <w:right w:type="dxa" w:w="80"/>
                  </w:tcMar>
                </w:tcPr>
                <w:p>
                  <w:pPr>
                    <w:jc w:val="center"/>
                  </w:pPr>
                  <w:r>
                    <w:rPr>
                      <w:rFonts w:ascii="Arial" w:cs="Arial" w:eastAsia="Arial" w:hAnsi="Arial"/>
                      <w:b/>
                      <w:bCs/>
                      <w:color w:val="FFFFFF"/>
                      <w:sz w:val="18"/>
                      <w:szCs w:val="18"/>
                    </w:rPr>
                    <w:t xml:space="preserve">TransferAI Africa</w:t>
                  </w:r>
                </w:p>
              </w:tc>
            </w:tr>
            <w:tr>
              <w:tc>
                <w:tcPr>
                  <w:tcW w:type="dxa" w:w="380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80"/>
                  </w:tcMar>
                </w:tcPr>
                <w:p>
                  <w:r>
                    <w:rPr>
                      <w:rFonts w:ascii="Arial" w:cs="Arial" w:eastAsia="Arial" w:hAnsi="Arial"/>
                      <w:color w:val="C0392B"/>
                      <w:sz w:val="19"/>
                      <w:szCs w:val="19"/>
                    </w:rPr>
                    <w:t xml:space="preserve">✗  Des démonstrations d'outils sur des exemples génériques, déconnectés du métier du participant.</w:t>
                  </w:r>
                </w:p>
              </w:tc>
              <w:tc>
                <w:tcPr>
                  <w:tcW w:type="dxa" w:w="4200"/>
                  <w:tcBorders>
                    <w:top w:val="single" w:color="CCCCCC" w:sz="1"/>
                    <w:left w:val="single" w:color="CCCCCC" w:sz="1"/>
                    <w:bottom w:val="single" w:color="CCCCCC" w:sz="1"/>
                    <w:right w:val="single" w:color="CCCCCC" w:sz="1"/>
                  </w:tcBorders>
                  <w:shd w:fill="D5F0EC" w:val="clear"/>
                  <w:tcMar>
                    <w:top w:type="dxa" w:w="80"/>
                    <w:left w:type="dxa" w:w="120"/>
                    <w:bottom w:type="dxa" w:w="80"/>
                    <w:right w:type="dxa" w:w="80"/>
                  </w:tcMar>
                </w:tcPr>
                <w:p>
                  <w:r>
                    <w:rPr>
                      <w:rFonts w:ascii="Arial" w:cs="Arial" w:eastAsia="Arial" w:hAnsi="Arial"/>
                      <w:b/>
                      <w:bCs/>
                      <w:color w:val="004433"/>
                      <w:sz w:val="19"/>
                      <w:szCs w:val="19"/>
                    </w:rPr>
                    <w:t xml:space="preserve">✓  Un flux d'intelligence artificielle opérationnel, construit pendant la formation sur un cas d'usage réel.</w:t>
                  </w:r>
                </w:p>
              </w:tc>
            </w:tr>
          </w:tbl>
          <w:p>
            <w:r>
              <w:t xml:space="preserve"/>
            </w:r>
          </w:p>
        </w:tc>
      </w:tr>
    </w:tbl>
    <w:p>
      <w:pPr>
        <w:spacing w:after="160"/>
      </w:pPr>
      <w:r>
        <w:t xml:space="preserve"/>
      </w:r>
    </w:p>
    <w:tbl>
      <w:tblPr>
        <w:tblW w:type="dxa" w:w="9026"/>
        <w:tblBorders>
          <w:top w:val="single" w:color="CCCCCC" w:sz="1"/>
          <w:left w:val="single" w:color="CCCCCC" w:sz="1"/>
          <w:bottom w:val="single" w:color="CCCCCC" w:sz="1"/>
          <w:right w:val="single" w:color="CCCCCC" w:sz="1"/>
          <w:insideH w:val="single" w:color="auto" w:sz="4"/>
          <w:insideV w:val="single" w:color="auto" w:sz="4"/>
        </w:tblBorders>
      </w:tblPr>
      <w:tblGrid>
        <w:gridCol w:w="680"/>
        <w:gridCol w:w="8346"/>
      </w:tblGrid>
      <w:tr>
        <w:tc>
          <w:tcPr>
            <w:tcW w:type="dxa" w:w="680"/>
            <w:tcBorders>
              <w:top w:val="single" w:color="FFFFFF" w:sz="0"/>
              <w:left w:val="single" w:color="FFFFFF" w:sz="0"/>
              <w:bottom w:val="single" w:color="FFFFFF" w:sz="0"/>
              <w:right w:val="single" w:color="FFFFFF" w:sz="0"/>
            </w:tcBorders>
            <w:shd w:fill="10263F" w:val="clear"/>
            <w:tcMar>
              <w:top w:type="dxa" w:w="140"/>
              <w:left w:type="dxa" w:w="80"/>
              <w:bottom w:type="dxa" w:w="0"/>
              <w:right w:type="dxa" w:w="80"/>
            </w:tcMar>
            <w:vAlign w:val="center"/>
          </w:tcPr>
          <w:p>
            <w:pPr>
              <w:jc w:val="center"/>
            </w:pPr>
            <w:r>
              <w:rPr>
                <w:rFonts w:ascii="Arial" w:cs="Arial" w:eastAsia="Arial" w:hAnsi="Arial"/>
                <w:b/>
                <w:bCs/>
                <w:color w:val="FFFFFF"/>
                <w:sz w:val="40"/>
                <w:szCs w:val="40"/>
              </w:rPr>
              <w:t xml:space="preserve">4</w:t>
            </w:r>
          </w:p>
          <w:p>
            <w:pPr>
              <w:spacing w:before="20"/>
              <w:jc w:val="center"/>
            </w:pPr>
            <w:r>
              <w:rPr>
                <w:rFonts w:ascii="Arial" w:cs="Arial" w:eastAsia="Arial" w:hAnsi="Arial"/>
                <w:sz w:val="24"/>
                <w:szCs w:val="24"/>
              </w:rPr>
              <w:t xml:space="preserve">🔒</w:t>
            </w:r>
          </w:p>
        </w:tc>
        <w:tc>
          <w:tcPr>
            <w:tcW w:type="dxa" w:w="8346"/>
            <w:tcBorders>
              <w:top w:val="single" w:color="FFFFFF" w:sz="0"/>
              <w:left w:val="single" w:color="FFFFFF" w:sz="0"/>
              <w:bottom w:val="single" w:color="CCCCCC" w:sz="1"/>
              <w:right w:val="single" w:color="FFFFFF" w:sz="0"/>
            </w:tcBorders>
            <w:shd w:fill="10263F" w:val="clear"/>
            <w:tcMar>
              <w:top w:type="dxa" w:w="120"/>
              <w:left w:type="dxa" w:w="220"/>
              <w:bottom w:type="dxa" w:w="80"/>
              <w:right w:type="dxa" w:w="160"/>
            </w:tcMar>
          </w:tcPr>
          <w:p>
            <w:pPr>
              <w:spacing w:after="0"/>
            </w:pPr>
            <w:r>
              <w:rPr>
                <w:rFonts w:ascii="Arial" w:cs="Arial" w:eastAsia="Arial" w:hAnsi="Arial"/>
                <w:b/>
                <w:bCs/>
                <w:color w:val="FFFFFF"/>
                <w:sz w:val="24"/>
                <w:szCs w:val="24"/>
              </w:rPr>
              <w:t xml:space="preserve">Une gouvernance intégrée, pas une zone grise</w:t>
            </w:r>
          </w:p>
        </w:tc>
      </w:tr>
      <w:tr>
        <w:tc>
          <w:tcPr>
            <w:tcW w:type="dxa" w:w="680"/>
            <w:tcBorders>
              <w:top w:val="single" w:color="FFFFFF" w:sz="0"/>
              <w:left w:val="single" w:color="FFFFFF" w:sz="0"/>
              <w:bottom w:val="single" w:color="FFFFFF" w:sz="0"/>
              <w:right w:val="single" w:color="FFFFFF" w:sz="0"/>
            </w:tcBorders>
          </w:tcPr>
          <w:p>
            <w:r>
              <w:t xml:space="preserve"/>
            </w:r>
          </w:p>
        </w:tc>
        <w:tc>
          <w:tcPr>
            <w:tcW w:type="dxa" w:w="8346"/>
            <w:tcBorders>
              <w:top w:val="single" w:color="FFFFFF" w:sz="0"/>
              <w:left w:val="single" w:color="10263F" w:sz="20"/>
              <w:bottom w:val="single" w:color="FFFFFF" w:sz="0"/>
              <w:right w:val="single" w:color="FFFFFF" w:sz="0"/>
            </w:tcBorders>
            <w:shd w:fill="D6E4F0" w:val="clear"/>
            <w:tcMar>
              <w:top w:type="dxa" w:w="140"/>
              <w:left w:type="dxa" w:w="220"/>
              <w:bottom w:type="dxa" w:w="100"/>
              <w:right w:type="dxa" w:w="160"/>
            </w:tcMar>
          </w:tcPr>
          <w:p>
            <w:pPr>
              <w:spacing w:after="120"/>
            </w:pPr>
            <w:r>
              <w:rPr>
                <w:rFonts w:ascii="Arial" w:cs="Arial" w:eastAsia="Arial" w:hAnsi="Arial"/>
                <w:color w:val="222222"/>
                <w:sz w:val="21"/>
                <w:szCs w:val="21"/>
              </w:rPr>
              <w:t xml:space="preserve">La confidentialité, l'anonymisation des données sensibles et la validation humaine ne sont pas des options : elles sont intégrées dès la formation, dans une charte que l'organisation peut diffuser immédiatement à ses équipes.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800"/>
              <w:gridCol w:w="4200"/>
            </w:tblGrid>
            <w:tr>
              <w:tc>
                <w:tcPr>
                  <w:tcW w:type="dxa" w:w="3800"/>
                  <w:tcBorders>
                    <w:top w:val="single" w:color="CCCCCC" w:sz="1"/>
                    <w:left w:val="single" w:color="CCCCCC" w:sz="1"/>
                    <w:bottom w:val="single" w:color="CCCCCC" w:sz="1"/>
                    <w:right w:val="single" w:color="CCCCCC" w:sz="1"/>
                  </w:tcBorders>
                  <w:shd w:fill="C0392B" w:val="clear"/>
                  <w:tcMar>
                    <w:top w:type="dxa" w:w="60"/>
                    <w:left w:type="dxa" w:w="120"/>
                    <w:bottom w:type="dxa" w:w="60"/>
                    <w:right w:type="dxa" w:w="80"/>
                  </w:tcMar>
                </w:tcPr>
                <w:p>
                  <w:pPr>
                    <w:jc w:val="center"/>
                  </w:pPr>
                  <w:r>
                    <w:rPr>
                      <w:rFonts w:ascii="Arial" w:cs="Arial" w:eastAsia="Arial" w:hAnsi="Arial"/>
                      <w:b/>
                      <w:bCs/>
                      <w:color w:val="FFFFFF"/>
                      <w:sz w:val="18"/>
                      <w:szCs w:val="18"/>
                    </w:rPr>
                    <w:t xml:space="preserve">Autres organismes</w:t>
                  </w:r>
                </w:p>
              </w:tc>
              <w:tc>
                <w:tcPr>
                  <w:tcW w:type="dxa" w:w="4200"/>
                  <w:tcBorders>
                    <w:top w:val="single" w:color="CCCCCC" w:sz="1"/>
                    <w:left w:val="single" w:color="CCCCCC" w:sz="1"/>
                    <w:bottom w:val="single" w:color="CCCCCC" w:sz="1"/>
                    <w:right w:val="single" w:color="CCCCCC" w:sz="1"/>
                  </w:tcBorders>
                  <w:shd w:fill="0D7D6B" w:val="clear"/>
                  <w:tcMar>
                    <w:top w:type="dxa" w:w="60"/>
                    <w:left w:type="dxa" w:w="120"/>
                    <w:bottom w:type="dxa" w:w="60"/>
                    <w:right w:type="dxa" w:w="80"/>
                  </w:tcMar>
                </w:tcPr>
                <w:p>
                  <w:pPr>
                    <w:jc w:val="center"/>
                  </w:pPr>
                  <w:r>
                    <w:rPr>
                      <w:rFonts w:ascii="Arial" w:cs="Arial" w:eastAsia="Arial" w:hAnsi="Arial"/>
                      <w:b/>
                      <w:bCs/>
                      <w:color w:val="FFFFFF"/>
                      <w:sz w:val="18"/>
                      <w:szCs w:val="18"/>
                    </w:rPr>
                    <w:t xml:space="preserve">TransferAI Africa</w:t>
                  </w:r>
                </w:p>
              </w:tc>
            </w:tr>
            <w:tr>
              <w:tc>
                <w:tcPr>
                  <w:tcW w:type="dxa" w:w="380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80"/>
                  </w:tcMar>
                </w:tcPr>
                <w:p>
                  <w:r>
                    <w:rPr>
                      <w:rFonts w:ascii="Arial" w:cs="Arial" w:eastAsia="Arial" w:hAnsi="Arial"/>
                      <w:color w:val="C0392B"/>
                      <w:sz w:val="19"/>
                      <w:szCs w:val="19"/>
                    </w:rPr>
                    <w:t xml:space="preserve">✗  Aucune charte fournie. La gouvernance et la conformité restent entièrement à la charge du client.</w:t>
                  </w:r>
                </w:p>
              </w:tc>
              <w:tc>
                <w:tcPr>
                  <w:tcW w:type="dxa" w:w="4200"/>
                  <w:tcBorders>
                    <w:top w:val="single" w:color="CCCCCC" w:sz="1"/>
                    <w:left w:val="single" w:color="CCCCCC" w:sz="1"/>
                    <w:bottom w:val="single" w:color="CCCCCC" w:sz="1"/>
                    <w:right w:val="single" w:color="CCCCCC" w:sz="1"/>
                  </w:tcBorders>
                  <w:shd w:fill="D5F0EC" w:val="clear"/>
                  <w:tcMar>
                    <w:top w:type="dxa" w:w="80"/>
                    <w:left w:type="dxa" w:w="120"/>
                    <w:bottom w:type="dxa" w:w="80"/>
                    <w:right w:type="dxa" w:w="80"/>
                  </w:tcMar>
                </w:tcPr>
                <w:p>
                  <w:r>
                    <w:rPr>
                      <w:rFonts w:ascii="Arial" w:cs="Arial" w:eastAsia="Arial" w:hAnsi="Arial"/>
                      <w:b/>
                      <w:bCs/>
                      <w:color w:val="004433"/>
                      <w:sz w:val="19"/>
                      <w:szCs w:val="19"/>
                    </w:rPr>
                    <w:t xml:space="preserve">✓  Une charte d'usage de l'intelligence artificielle sur mesure : confidentialité, anonymisation, validation humaine obligatoire.</w:t>
                  </w:r>
                </w:p>
              </w:tc>
            </w:tr>
          </w:tbl>
          <w:p>
            <w:r>
              <w:t xml:space="preserve"/>
            </w:r>
          </w:p>
        </w:tc>
      </w:tr>
    </w:tbl>
    <w:p>
      <w:pPr>
        <w:spacing w:after="160"/>
      </w:pPr>
      <w:r>
        <w:t xml:space="preserve"/>
      </w:r>
    </w:p>
    <w:tbl>
      <w:tblPr>
        <w:tblW w:type="dxa" w:w="9026"/>
        <w:tblBorders>
          <w:top w:val="single" w:color="CCCCCC" w:sz="1"/>
          <w:left w:val="single" w:color="CCCCCC" w:sz="1"/>
          <w:bottom w:val="single" w:color="CCCCCC" w:sz="1"/>
          <w:right w:val="single" w:color="CCCCCC" w:sz="1"/>
          <w:insideH w:val="single" w:color="auto" w:sz="4"/>
          <w:insideV w:val="single" w:color="auto" w:sz="4"/>
        </w:tblBorders>
      </w:tblPr>
      <w:tblGrid>
        <w:gridCol w:w="680"/>
        <w:gridCol w:w="8346"/>
      </w:tblGrid>
      <w:tr>
        <w:tc>
          <w:tcPr>
            <w:tcW w:type="dxa" w:w="680"/>
            <w:tcBorders>
              <w:top w:val="single" w:color="FFFFFF" w:sz="0"/>
              <w:left w:val="single" w:color="FFFFFF" w:sz="0"/>
              <w:bottom w:val="single" w:color="FFFFFF" w:sz="0"/>
              <w:right w:val="single" w:color="FFFFFF" w:sz="0"/>
            </w:tcBorders>
            <w:shd w:fill="E8920A" w:val="clear"/>
            <w:tcMar>
              <w:top w:type="dxa" w:w="140"/>
              <w:left w:type="dxa" w:w="80"/>
              <w:bottom w:type="dxa" w:w="0"/>
              <w:right w:type="dxa" w:w="80"/>
            </w:tcMar>
            <w:vAlign w:val="center"/>
          </w:tcPr>
          <w:p>
            <w:pPr>
              <w:jc w:val="center"/>
            </w:pPr>
            <w:r>
              <w:rPr>
                <w:rFonts w:ascii="Arial" w:cs="Arial" w:eastAsia="Arial" w:hAnsi="Arial"/>
                <w:b/>
                <w:bCs/>
                <w:color w:val="FFFFFF"/>
                <w:sz w:val="40"/>
                <w:szCs w:val="40"/>
              </w:rPr>
              <w:t xml:space="preserve">5</w:t>
            </w:r>
          </w:p>
          <w:p>
            <w:pPr>
              <w:spacing w:before="20"/>
              <w:jc w:val="center"/>
            </w:pPr>
            <w:r>
              <w:rPr>
                <w:rFonts w:ascii="Arial" w:cs="Arial" w:eastAsia="Arial" w:hAnsi="Arial"/>
                <w:sz w:val="24"/>
                <w:szCs w:val="24"/>
              </w:rPr>
              <w:t xml:space="preserve">🏅</w:t>
            </w:r>
          </w:p>
        </w:tc>
        <w:tc>
          <w:tcPr>
            <w:tcW w:type="dxa" w:w="8346"/>
            <w:tcBorders>
              <w:top w:val="single" w:color="FFFFFF" w:sz="0"/>
              <w:left w:val="single" w:color="FFFFFF" w:sz="0"/>
              <w:bottom w:val="single" w:color="CCCCCC" w:sz="1"/>
              <w:right w:val="single" w:color="FFFFFF" w:sz="0"/>
            </w:tcBorders>
            <w:shd w:fill="E8920A" w:val="clear"/>
            <w:tcMar>
              <w:top w:type="dxa" w:w="120"/>
              <w:left w:type="dxa" w:w="220"/>
              <w:bottom w:type="dxa" w:w="80"/>
              <w:right w:type="dxa" w:w="160"/>
            </w:tcMar>
          </w:tcPr>
          <w:p>
            <w:pPr>
              <w:spacing w:after="0"/>
            </w:pPr>
            <w:r>
              <w:rPr>
                <w:rFonts w:ascii="Arial" w:cs="Arial" w:eastAsia="Arial" w:hAnsi="Arial"/>
                <w:b/>
                <w:bCs/>
                <w:color w:val="FFFFFF"/>
                <w:sz w:val="24"/>
                <w:szCs w:val="24"/>
              </w:rPr>
              <w:t xml:space="preserve">Un accompagnement qui continue après la formation</w:t>
            </w:r>
          </w:p>
        </w:tc>
      </w:tr>
      <w:tr>
        <w:tc>
          <w:tcPr>
            <w:tcW w:type="dxa" w:w="680"/>
            <w:tcBorders>
              <w:top w:val="single" w:color="FFFFFF" w:sz="0"/>
              <w:left w:val="single" w:color="FFFFFF" w:sz="0"/>
              <w:bottom w:val="single" w:color="FFFFFF" w:sz="0"/>
              <w:right w:val="single" w:color="FFFFFF" w:sz="0"/>
            </w:tcBorders>
          </w:tcPr>
          <w:p>
            <w:r>
              <w:t xml:space="preserve"/>
            </w:r>
          </w:p>
        </w:tc>
        <w:tc>
          <w:tcPr>
            <w:tcW w:type="dxa" w:w="8346"/>
            <w:tcBorders>
              <w:top w:val="single" w:color="FFFFFF" w:sz="0"/>
              <w:left w:val="single" w:color="E8920A" w:sz="20"/>
              <w:bottom w:val="single" w:color="FFFFFF" w:sz="0"/>
              <w:right w:val="single" w:color="FFFFFF" w:sz="0"/>
            </w:tcBorders>
            <w:shd w:fill="FEF3DC" w:val="clear"/>
            <w:tcMar>
              <w:top w:type="dxa" w:w="140"/>
              <w:left w:type="dxa" w:w="220"/>
              <w:bottom w:type="dxa" w:w="100"/>
              <w:right w:type="dxa" w:w="160"/>
            </w:tcMar>
          </w:tcPr>
          <w:p>
            <w:pPr>
              <w:spacing w:after="120"/>
            </w:pPr>
            <w:r>
              <w:rPr>
                <w:rFonts w:ascii="Arial" w:cs="Arial" w:eastAsia="Arial" w:hAnsi="Arial"/>
                <w:color w:val="222222"/>
                <w:sz w:val="21"/>
                <w:szCs w:val="21"/>
              </w:rPr>
              <w:t xml:space="preserve">La certification ne clôt pas la relation, elle l'ouvre. Chaque organisation bénéficie de quatre-vingt-dix jours de suivi expert : relecture des indicateurs, ajustements du pilote et décision d'extension appuyée sur des données réelles.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800"/>
              <w:gridCol w:w="4200"/>
            </w:tblGrid>
            <w:tr>
              <w:tc>
                <w:tcPr>
                  <w:tcW w:type="dxa" w:w="3800"/>
                  <w:tcBorders>
                    <w:top w:val="single" w:color="CCCCCC" w:sz="1"/>
                    <w:left w:val="single" w:color="CCCCCC" w:sz="1"/>
                    <w:bottom w:val="single" w:color="CCCCCC" w:sz="1"/>
                    <w:right w:val="single" w:color="CCCCCC" w:sz="1"/>
                  </w:tcBorders>
                  <w:shd w:fill="C0392B" w:val="clear"/>
                  <w:tcMar>
                    <w:top w:type="dxa" w:w="60"/>
                    <w:left w:type="dxa" w:w="120"/>
                    <w:bottom w:type="dxa" w:w="60"/>
                    <w:right w:type="dxa" w:w="80"/>
                  </w:tcMar>
                </w:tcPr>
                <w:p>
                  <w:pPr>
                    <w:jc w:val="center"/>
                  </w:pPr>
                  <w:r>
                    <w:rPr>
                      <w:rFonts w:ascii="Arial" w:cs="Arial" w:eastAsia="Arial" w:hAnsi="Arial"/>
                      <w:b/>
                      <w:bCs/>
                      <w:color w:val="FFFFFF"/>
                      <w:sz w:val="18"/>
                      <w:szCs w:val="18"/>
                    </w:rPr>
                    <w:t xml:space="preserve">Autres organismes</w:t>
                  </w:r>
                </w:p>
              </w:tc>
              <w:tc>
                <w:tcPr>
                  <w:tcW w:type="dxa" w:w="4200"/>
                  <w:tcBorders>
                    <w:top w:val="single" w:color="CCCCCC" w:sz="1"/>
                    <w:left w:val="single" w:color="CCCCCC" w:sz="1"/>
                    <w:bottom w:val="single" w:color="CCCCCC" w:sz="1"/>
                    <w:right w:val="single" w:color="CCCCCC" w:sz="1"/>
                  </w:tcBorders>
                  <w:shd w:fill="0D7D6B" w:val="clear"/>
                  <w:tcMar>
                    <w:top w:type="dxa" w:w="60"/>
                    <w:left w:type="dxa" w:w="120"/>
                    <w:bottom w:type="dxa" w:w="60"/>
                    <w:right w:type="dxa" w:w="80"/>
                  </w:tcMar>
                </w:tcPr>
                <w:p>
                  <w:pPr>
                    <w:jc w:val="center"/>
                  </w:pPr>
                  <w:r>
                    <w:rPr>
                      <w:rFonts w:ascii="Arial" w:cs="Arial" w:eastAsia="Arial" w:hAnsi="Arial"/>
                      <w:b/>
                      <w:bCs/>
                      <w:color w:val="FFFFFF"/>
                      <w:sz w:val="18"/>
                      <w:szCs w:val="18"/>
                    </w:rPr>
                    <w:t xml:space="preserve">TransferAI Africa</w:t>
                  </w:r>
                </w:p>
              </w:tc>
            </w:tr>
            <w:tr>
              <w:tc>
                <w:tcPr>
                  <w:tcW w:type="dxa" w:w="380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80"/>
                  </w:tcMar>
                </w:tcPr>
                <w:p>
                  <w:r>
                    <w:rPr>
                      <w:rFonts w:ascii="Arial" w:cs="Arial" w:eastAsia="Arial" w:hAnsi="Arial"/>
                      <w:color w:val="C0392B"/>
                      <w:sz w:val="19"/>
                      <w:szCs w:val="19"/>
                    </w:rPr>
                    <w:t xml:space="preserve">✗  Un certificat générique de fin de formation. La relation s'arrête là.</w:t>
                  </w:r>
                </w:p>
              </w:tc>
              <w:tc>
                <w:tcPr>
                  <w:tcW w:type="dxa" w:w="4200"/>
                  <w:tcBorders>
                    <w:top w:val="single" w:color="CCCCCC" w:sz="1"/>
                    <w:left w:val="single" w:color="CCCCCC" w:sz="1"/>
                    <w:bottom w:val="single" w:color="CCCCCC" w:sz="1"/>
                    <w:right w:val="single" w:color="CCCCCC" w:sz="1"/>
                  </w:tcBorders>
                  <w:shd w:fill="D5F0EC" w:val="clear"/>
                  <w:tcMar>
                    <w:top w:type="dxa" w:w="80"/>
                    <w:left w:type="dxa" w:w="120"/>
                    <w:bottom w:type="dxa" w:w="80"/>
                    <w:right w:type="dxa" w:w="80"/>
                  </w:tcMar>
                </w:tcPr>
                <w:p>
                  <w:r>
                    <w:rPr>
                      <w:rFonts w:ascii="Arial" w:cs="Arial" w:eastAsia="Arial" w:hAnsi="Arial"/>
                      <w:b/>
                      <w:bCs/>
                      <w:color w:val="004433"/>
                      <w:sz w:val="19"/>
                      <w:szCs w:val="19"/>
                    </w:rPr>
                    <w:t xml:space="preserve">✓  Une certification reconnue par le réseau NettelecomCI, avec quatre-vingt-dix jours de suivi expert.</w:t>
                  </w:r>
                </w:p>
              </w:tc>
            </w:tr>
          </w:tbl>
          <w:p>
            <w:r>
              <w:t xml:space="preserve"/>
            </w:r>
          </w:p>
        </w:tc>
      </w:tr>
    </w:tbl>
    <w:p>
      <w:pPr>
        <w:spacing w:after="160"/>
      </w:pPr>
      <w:r>
        <w:t xml:space="preserve"/>
      </w:r>
    </w:p>
    <w:tbl>
      <w:tblPr>
        <w:tblW w:type="dxa" w:w="9026"/>
        <w:tblBorders>
          <w:top w:val="single" w:color="CCCCCC" w:sz="1"/>
          <w:left w:val="single" w:color="CCCCCC" w:sz="1"/>
          <w:bottom w:val="single" w:color="CCCCCC" w:sz="1"/>
          <w:right w:val="single" w:color="CCCCCC" w:sz="1"/>
          <w:insideH w:val="single" w:color="auto" w:sz="4"/>
          <w:insideV w:val="single" w:color="auto" w:sz="4"/>
        </w:tblBorders>
      </w:tblPr>
      <w:tblGrid>
        <w:gridCol w:w="680"/>
        <w:gridCol w:w="8346"/>
      </w:tblGrid>
      <w:tr>
        <w:tc>
          <w:tcPr>
            <w:tcW w:type="dxa" w:w="680"/>
            <w:tcBorders>
              <w:top w:val="single" w:color="FFFFFF" w:sz="0"/>
              <w:left w:val="single" w:color="FFFFFF" w:sz="0"/>
              <w:bottom w:val="single" w:color="FFFFFF" w:sz="0"/>
              <w:right w:val="single" w:color="FFFFFF" w:sz="0"/>
            </w:tcBorders>
            <w:shd w:fill="0D7D6B" w:val="clear"/>
            <w:tcMar>
              <w:top w:type="dxa" w:w="140"/>
              <w:left w:type="dxa" w:w="80"/>
              <w:bottom w:type="dxa" w:w="0"/>
              <w:right w:type="dxa" w:w="80"/>
            </w:tcMar>
            <w:vAlign w:val="center"/>
          </w:tcPr>
          <w:p>
            <w:pPr>
              <w:jc w:val="center"/>
            </w:pPr>
            <w:r>
              <w:rPr>
                <w:rFonts w:ascii="Arial" w:cs="Arial" w:eastAsia="Arial" w:hAnsi="Arial"/>
                <w:b/>
                <w:bCs/>
                <w:color w:val="FFFFFF"/>
                <w:sz w:val="40"/>
                <w:szCs w:val="40"/>
              </w:rPr>
              <w:t xml:space="preserve">6</w:t>
            </w:r>
          </w:p>
          <w:p>
            <w:pPr>
              <w:spacing w:before="20"/>
              <w:jc w:val="center"/>
            </w:pPr>
            <w:r>
              <w:rPr>
                <w:rFonts w:ascii="Arial" w:cs="Arial" w:eastAsia="Arial" w:hAnsi="Arial"/>
                <w:sz w:val="24"/>
                <w:szCs w:val="24"/>
              </w:rPr>
              <w:t xml:space="preserve">🌐</w:t>
            </w:r>
          </w:p>
        </w:tc>
        <w:tc>
          <w:tcPr>
            <w:tcW w:type="dxa" w:w="8346"/>
            <w:tcBorders>
              <w:top w:val="single" w:color="FFFFFF" w:sz="0"/>
              <w:left w:val="single" w:color="FFFFFF" w:sz="0"/>
              <w:bottom w:val="single" w:color="CCCCCC" w:sz="1"/>
              <w:right w:val="single" w:color="FFFFFF" w:sz="0"/>
            </w:tcBorders>
            <w:shd w:fill="0D7D6B" w:val="clear"/>
            <w:tcMar>
              <w:top w:type="dxa" w:w="120"/>
              <w:left w:type="dxa" w:w="220"/>
              <w:bottom w:type="dxa" w:w="80"/>
              <w:right w:type="dxa" w:w="160"/>
            </w:tcMar>
          </w:tcPr>
          <w:p>
            <w:pPr>
              <w:spacing w:after="0"/>
            </w:pPr>
            <w:r>
              <w:rPr>
                <w:rFonts w:ascii="Arial" w:cs="Arial" w:eastAsia="Arial" w:hAnsi="Arial"/>
                <w:b/>
                <w:bCs/>
                <w:color w:val="FFFFFF"/>
                <w:sz w:val="24"/>
                <w:szCs w:val="24"/>
              </w:rPr>
              <w:t xml:space="preserve">Une infrastructure prête à l'usage, pas un frein technique</w:t>
            </w:r>
          </w:p>
        </w:tc>
      </w:tr>
      <w:tr>
        <w:tc>
          <w:tcPr>
            <w:tcW w:type="dxa" w:w="680"/>
            <w:tcBorders>
              <w:top w:val="single" w:color="FFFFFF" w:sz="0"/>
              <w:left w:val="single" w:color="FFFFFF" w:sz="0"/>
              <w:bottom w:val="single" w:color="FFFFFF" w:sz="0"/>
              <w:right w:val="single" w:color="FFFFFF" w:sz="0"/>
            </w:tcBorders>
          </w:tcPr>
          <w:p>
            <w:r>
              <w:t xml:space="preserve"/>
            </w:r>
          </w:p>
        </w:tc>
        <w:tc>
          <w:tcPr>
            <w:tcW w:type="dxa" w:w="8346"/>
            <w:tcBorders>
              <w:top w:val="single" w:color="FFFFFF" w:sz="0"/>
              <w:left w:val="single" w:color="0D7D6B" w:sz="20"/>
              <w:bottom w:val="single" w:color="FFFFFF" w:sz="0"/>
              <w:right w:val="single" w:color="FFFFFF" w:sz="0"/>
            </w:tcBorders>
            <w:shd w:fill="D5F0EC" w:val="clear"/>
            <w:tcMar>
              <w:top w:type="dxa" w:w="140"/>
              <w:left w:type="dxa" w:w="220"/>
              <w:bottom w:type="dxa" w:w="100"/>
              <w:right w:type="dxa" w:w="160"/>
            </w:tcMar>
          </w:tcPr>
          <w:p>
            <w:pPr>
              <w:spacing w:after="120"/>
            </w:pPr>
            <w:r>
              <w:rPr>
                <w:rFonts w:ascii="Arial" w:cs="Arial" w:eastAsia="Arial" w:hAnsi="Arial"/>
                <w:color w:val="222222"/>
                <w:sz w:val="21"/>
                <w:szCs w:val="21"/>
              </w:rPr>
              <w:t xml:space="preserve">Sur demande, TransferAI Africa migre les systèmes et les données vers le cloud avant même le démarrage de la formation, pour que les équipes forment et automatisent sur une base saine plutôt que sur des données cloisonnées.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800"/>
              <w:gridCol w:w="4200"/>
            </w:tblGrid>
            <w:tr>
              <w:tc>
                <w:tcPr>
                  <w:tcW w:type="dxa" w:w="3800"/>
                  <w:tcBorders>
                    <w:top w:val="single" w:color="CCCCCC" w:sz="1"/>
                    <w:left w:val="single" w:color="CCCCCC" w:sz="1"/>
                    <w:bottom w:val="single" w:color="CCCCCC" w:sz="1"/>
                    <w:right w:val="single" w:color="CCCCCC" w:sz="1"/>
                  </w:tcBorders>
                  <w:shd w:fill="C0392B" w:val="clear"/>
                  <w:tcMar>
                    <w:top w:type="dxa" w:w="60"/>
                    <w:left w:type="dxa" w:w="120"/>
                    <w:bottom w:type="dxa" w:w="60"/>
                    <w:right w:type="dxa" w:w="80"/>
                  </w:tcMar>
                </w:tcPr>
                <w:p>
                  <w:pPr>
                    <w:jc w:val="center"/>
                  </w:pPr>
                  <w:r>
                    <w:rPr>
                      <w:rFonts w:ascii="Arial" w:cs="Arial" w:eastAsia="Arial" w:hAnsi="Arial"/>
                      <w:b/>
                      <w:bCs/>
                      <w:color w:val="FFFFFF"/>
                      <w:sz w:val="18"/>
                      <w:szCs w:val="18"/>
                    </w:rPr>
                    <w:t xml:space="preserve">Autres organismes</w:t>
                  </w:r>
                </w:p>
              </w:tc>
              <w:tc>
                <w:tcPr>
                  <w:tcW w:type="dxa" w:w="4200"/>
                  <w:tcBorders>
                    <w:top w:val="single" w:color="CCCCCC" w:sz="1"/>
                    <w:left w:val="single" w:color="CCCCCC" w:sz="1"/>
                    <w:bottom w:val="single" w:color="CCCCCC" w:sz="1"/>
                    <w:right w:val="single" w:color="CCCCCC" w:sz="1"/>
                  </w:tcBorders>
                  <w:shd w:fill="0D7D6B" w:val="clear"/>
                  <w:tcMar>
                    <w:top w:type="dxa" w:w="60"/>
                    <w:left w:type="dxa" w:w="120"/>
                    <w:bottom w:type="dxa" w:w="60"/>
                    <w:right w:type="dxa" w:w="80"/>
                  </w:tcMar>
                </w:tcPr>
                <w:p>
                  <w:pPr>
                    <w:jc w:val="center"/>
                  </w:pPr>
                  <w:r>
                    <w:rPr>
                      <w:rFonts w:ascii="Arial" w:cs="Arial" w:eastAsia="Arial" w:hAnsi="Arial"/>
                      <w:b/>
                      <w:bCs/>
                      <w:color w:val="FFFFFF"/>
                      <w:sz w:val="18"/>
                      <w:szCs w:val="18"/>
                    </w:rPr>
                    <w:t xml:space="preserve">TransferAI Africa</w:t>
                  </w:r>
                </w:p>
              </w:tc>
            </w:tr>
            <w:tr>
              <w:tc>
                <w:tcPr>
                  <w:tcW w:type="dxa" w:w="380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80"/>
                  </w:tcMar>
                </w:tcPr>
                <w:p>
                  <w:r>
                    <w:rPr>
                      <w:rFonts w:ascii="Arial" w:cs="Arial" w:eastAsia="Arial" w:hAnsi="Arial"/>
                      <w:color w:val="C0392B"/>
                      <w:sz w:val="19"/>
                      <w:szCs w:val="19"/>
                    </w:rPr>
                    <w:t xml:space="preserve">✗  La migration cloud et la consolidation des données restent hors périmètre.</w:t>
                  </w:r>
                </w:p>
              </w:tc>
              <w:tc>
                <w:tcPr>
                  <w:tcW w:type="dxa" w:w="4200"/>
                  <w:tcBorders>
                    <w:top w:val="single" w:color="CCCCCC" w:sz="1"/>
                    <w:left w:val="single" w:color="CCCCCC" w:sz="1"/>
                    <w:bottom w:val="single" w:color="CCCCCC" w:sz="1"/>
                    <w:right w:val="single" w:color="CCCCCC" w:sz="1"/>
                  </w:tcBorders>
                  <w:shd w:fill="D5F0EC" w:val="clear"/>
                  <w:tcMar>
                    <w:top w:type="dxa" w:w="80"/>
                    <w:left w:type="dxa" w:w="120"/>
                    <w:bottom w:type="dxa" w:w="80"/>
                    <w:right w:type="dxa" w:w="80"/>
                  </w:tcMar>
                </w:tcPr>
                <w:p>
                  <w:r>
                    <w:rPr>
                      <w:rFonts w:ascii="Arial" w:cs="Arial" w:eastAsia="Arial" w:hAnsi="Arial"/>
                      <w:b/>
                      <w:bCs/>
                      <w:color w:val="004433"/>
                      <w:sz w:val="19"/>
                      <w:szCs w:val="19"/>
                    </w:rPr>
                    <w:t xml:space="preserve">✓  Une migration cloud sur mesure disponible sur demande, pour automatiser sur des données consolidées.</w:t>
                  </w:r>
                </w:p>
              </w:tc>
            </w:tr>
          </w:tbl>
          <w:p>
            <w:r>
              <w:t xml:space="preserve"/>
            </w:r>
          </w:p>
        </w:tc>
      </w:tr>
    </w:tbl>
    <w:p>
      <w:pPr>
        <w:spacing w:after="160"/>
      </w:pPr>
      <w:r>
        <w:t xml:space="preserve"/>
      </w:r>
    </w:p>
    <w:tbl>
      <w:tblPr>
        <w:tblW w:type="dxa" w:w="9026"/>
        <w:tblBorders>
          <w:top w:val="single" w:color="10263F" w:sz="4"/>
          <w:left w:val="single" w:color="10263F" w:sz="4"/>
          <w:bottom w:val="single" w:color="10263F" w:sz="4"/>
          <w:right w:val="single" w:color="10263F" w:sz="4"/>
          <w:insideH w:val="single" w:color="auto" w:sz="4"/>
          <w:insideV w:val="single" w:color="auto" w:sz="4"/>
        </w:tblBorders>
      </w:tblPr>
      <w:tblGrid>
        <w:gridCol w:w="9026"/>
      </w:tblGrid>
      <w:tr>
        <w:tc>
          <w:tcPr>
            <w:tcW w:type="dxa" w:w="9026"/>
            <w:shd w:fill="10263F" w:val="clear"/>
            <w:tcMar>
              <w:top w:type="dxa" w:w="220"/>
              <w:left w:type="dxa" w:w="260"/>
              <w:bottom w:type="dxa" w:w="220"/>
              <w:right w:type="dxa" w:w="260"/>
            </w:tcMar>
          </w:tcPr>
          <w:p>
            <w:pPr>
              <w:spacing w:after="140"/>
              <w:jc w:val="center"/>
            </w:pPr>
            <w:r>
              <w:rPr>
                <w:rFonts w:ascii="Arial" w:cs="Arial" w:eastAsia="Arial" w:hAnsi="Arial"/>
                <w:b/>
                <w:bCs/>
                <w:color w:val="FFFFFF"/>
                <w:sz w:val="26"/>
                <w:szCs w:val="26"/>
              </w:rPr>
              <w:t xml:space="preserve">Notre Positionnement</w:t>
            </w:r>
          </w:p>
          <w:p>
            <w:pPr>
              <w:spacing w:after="100"/>
              <w:jc w:val="center"/>
            </w:pPr>
            <w:r>
              <w:rPr>
                <w:rFonts w:ascii="Arial" w:cs="Arial" w:eastAsia="Arial" w:hAnsi="Arial"/>
                <w:color w:val="FFFFFF"/>
                <w:sz w:val="21"/>
                <w:szCs w:val="21"/>
              </w:rPr>
              <w:t xml:space="preserve">TransferAI Africa n'est pas un organisme de formation parmi d'autres.</w:t>
            </w:r>
          </w:p>
          <w:p>
            <w:pPr>
              <w:spacing w:after="100"/>
              <w:jc w:val="center"/>
            </w:pPr>
            <w:r>
              <w:rPr>
                <w:rFonts w:ascii="Arial" w:cs="Arial" w:eastAsia="Arial" w:hAnsi="Arial"/>
                <w:color w:val="FFFFFF"/>
                <w:sz w:val="21"/>
                <w:szCs w:val="21"/>
              </w:rPr>
              <w:t xml:space="preserve">Nous sommes avant tout 13 experts internationaux, dans divers secteurs d'activité, répartis sur 4 continents, qui mettent leur savoir-faire et leur expertise au service de la Côte d'Ivoire et de l'Afrique — c'est la raison pour laquelle nous avons implanté ici notre premier Hub.</w:t>
            </w:r>
          </w:p>
          <w:p>
            <w:pPr>
              <w:jc w:val="center"/>
            </w:pPr>
            <w:r>
              <w:rPr>
                <w:rFonts w:ascii="Arial" w:cs="Arial" w:eastAsia="Arial" w:hAnsi="Arial"/>
                <w:i/>
                <w:iCs/>
                <w:color w:val="FFFFFF"/>
                <w:sz w:val="21"/>
                <w:szCs w:val="21"/>
              </w:rPr>
              <w:t xml:space="preserve">Diagnostic réel, mise en pratique concrète, gouvernance intégrée et accompagnement dans la durée : c'est le hub IA de NettelecomCI en Côte d'Ivoire.</w:t>
            </w:r>
          </w:p>
        </w:tc>
      </w:tr>
    </w:tbl>
    <w:p>
      <w:pPr>
        <w:spacing w:after="60" w:before="220"/>
        <w:jc w:val="center"/>
      </w:pPr>
      <w:r>
        <w:rPr>
          <w:rFonts w:ascii="Arial" w:cs="Arial" w:eastAsia="Arial" w:hAnsi="Arial"/>
          <w:b/>
          <w:bCs/>
          <w:color w:val="10263F"/>
          <w:sz w:val="20"/>
          <w:szCs w:val="20"/>
        </w:rPr>
        <w:t xml:space="preserve">Audit IA Gratuit — </w:t>
      </w:r>
      <w:r>
        <w:rPr>
          <w:rFonts w:ascii="Arial" w:cs="Arial" w:eastAsia="Arial" w:hAnsi="Arial"/>
          <w:color w:val="222222"/>
          <w:sz w:val="20"/>
          <w:szCs w:val="20"/>
        </w:rPr>
        <w:t xml:space="preserve">Prenez rendez-vous : </w:t>
      </w:r>
      <w:r>
        <w:rPr>
          <w:rFonts w:ascii="Arial" w:cs="Arial" w:eastAsia="Arial" w:hAnsi="Arial"/>
          <w:b/>
          <w:bCs/>
          <w:color w:val="10263F"/>
          <w:sz w:val="20"/>
          <w:szCs w:val="20"/>
        </w:rPr>
        <w:t xml:space="preserve">calendly.com/contact-transferai/30min</w:t>
      </w:r>
    </w:p>
    <w:p>
      <w:pPr>
        <w:jc w:val="center"/>
      </w:pPr>
      <w:r>
        <w:rPr>
          <w:rFonts w:ascii="Arial" w:cs="Arial" w:eastAsia="Arial" w:hAnsi="Arial"/>
          <w:color w:val="555555"/>
          <w:sz w:val="19"/>
          <w:szCs w:val="19"/>
        </w:rPr>
        <w:t xml:space="preserve">contact@transferai.africa  |  www.transferai.ci</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2026-07-03T16:36:07.055Z</dcterms:created>
  <dcterms:modified xsi:type="dcterms:W3CDTF">2026-07-03T16:36:07.056Z</dcterms:modified>
</cp:coreProperties>
</file>

<file path=docProps/custom.xml><?xml version="1.0" encoding="utf-8"?>
<Properties xmlns="http://schemas.openxmlformats.org/officeDocument/2006/custom-properties" xmlns:vt="http://schemas.openxmlformats.org/officeDocument/2006/docPropsVTypes"/>
</file>