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Calibri" w:hAnsi="Calibri"/>
          <w:b/>
          <w:color w:val="10263F"/>
          <w:sz w:val="40"/>
        </w:rPr>
        <w:t>Guide utilisateur - Workflow 128</w:t>
      </w:r>
    </w:p>
    <w:p>
      <w:pPr>
        <w:spacing w:before="0" w:after="280" w:line="240" w:lineRule="auto"/>
        <w:jc w:val="center"/>
      </w:pPr>
      <w:r>
        <w:rPr>
          <w:rFonts w:ascii="Calibri" w:hAnsi="Calibri"/>
          <w:b w:val="0"/>
          <w:color w:val="666666"/>
          <w:sz w:val="22"/>
        </w:rPr>
        <w:t>Compte rendu de réunion international, pseudonymisation locale et livrables assainis - Session juillet / août 2026</w:t>
      </w:r>
    </w:p>
    <w:p>
      <w:pPr>
        <w:spacing w:before="280" w:after="120" w:line="276" w:lineRule="auto"/>
      </w:pPr>
      <w:r>
        <w:rPr>
          <w:rFonts w:ascii="Calibri" w:hAnsi="Calibri"/>
          <w:b/>
          <w:color w:val="2E74B5"/>
          <w:sz w:val="30"/>
        </w:rPr>
        <w:t>1. Objet du document</w:t>
      </w:r>
    </w:p>
    <w:p>
      <w:pPr>
        <w:spacing w:before="0" w:after="120" w:line="276" w:lineRule="auto"/>
      </w:pPr>
      <w:r>
        <w:rPr>
          <w:rFonts w:ascii="Calibri" w:hAnsi="Calibri"/>
          <w:b w:val="0"/>
          <w:sz w:val="22"/>
        </w:rPr>
        <w:t>Ce guide explique comment utiliser et configurer le workflow 128 pour traiter des enregistrements de réunions sensibles, produire des comptes rendus structurés et générer des livrables externes assainis.</w:t>
      </w:r>
    </w:p>
    <w:p>
      <w:pPr>
        <w:spacing w:before="0" w:after="120" w:line="276" w:lineRule="auto"/>
      </w:pPr>
      <w:r>
        <w:rPr>
          <w:rFonts w:ascii="Calibri" w:hAnsi="Calibri"/>
          <w:b w:val="0"/>
          <w:sz w:val="22"/>
        </w:rPr>
        <w:t>Il est destiné au cas d’usage de la session de formation TransferAI de juillet / août 2026, dans un contexte international impliquant plusieurs sources d’enregistrement et des exigences de confidentialité.</w:t>
      </w:r>
    </w:p>
    <w:p>
      <w:pPr>
        <w:spacing w:before="280" w:after="120" w:line="276" w:lineRule="auto"/>
      </w:pPr>
      <w:r>
        <w:rPr>
          <w:rFonts w:ascii="Calibri" w:hAnsi="Calibri"/>
          <w:b/>
          <w:color w:val="2E74B5"/>
          <w:sz w:val="30"/>
        </w:rPr>
        <w:t>2. Cas d’usage recommandé</w:t>
      </w:r>
    </w:p>
    <w:p>
      <w:pPr>
        <w:spacing w:before="0" w:after="120" w:line="276" w:lineRule="auto"/>
      </w:pPr>
      <w:r>
        <w:rPr>
          <w:rFonts w:ascii="Calibri" w:hAnsi="Calibri"/>
          <w:b w:val="0"/>
          <w:sz w:val="22"/>
        </w:rPr>
        <w:t>Le client enregistre ses réunions de cadrage, de suivi ou de restitution via Zoom, Webex, Microsoft Teams, un dictaphone, un smartphone ou un dispositif de salle.</w:t>
      </w:r>
    </w:p>
    <w:p>
      <w:pPr>
        <w:spacing w:before="0" w:after="120" w:line="276" w:lineRule="auto"/>
      </w:pPr>
      <w:r>
        <w:rPr>
          <w:rFonts w:ascii="Calibri" w:hAnsi="Calibri"/>
          <w:b w:val="0"/>
          <w:sz w:val="22"/>
        </w:rPr>
        <w:t>L’objectif est d’obtenir rapidement un compte rendu exploitable, un e-mail de suivi client et une version assainie, tout en protégeant les données sensibles avant appel à l’IA.</w:t>
      </w:r>
    </w:p>
    <w:p>
      <w:pPr>
        <w:pStyle w:val="ListBullet"/>
        <w:spacing w:before="0" w:after="60" w:line="276" w:lineRule="auto"/>
      </w:pPr>
      <w:r>
        <w:rPr>
          <w:rFonts w:ascii="Calibri" w:hAnsi="Calibri"/>
          <w:b w:val="0"/>
          <w:sz w:val="22"/>
        </w:rPr>
        <w:t>Réunion de cadrage : Programme Formation IA Secrétariat Direction - session août 2026</w:t>
      </w:r>
    </w:p>
    <w:p>
      <w:pPr>
        <w:pStyle w:val="ListBullet"/>
        <w:spacing w:before="0" w:after="60" w:line="276" w:lineRule="auto"/>
      </w:pPr>
      <w:r>
        <w:rPr>
          <w:rFonts w:ascii="Calibri" w:hAnsi="Calibri"/>
          <w:b w:val="0"/>
          <w:sz w:val="22"/>
        </w:rPr>
        <w:t>Source d’enregistrement : Teams, Zoom, Webex, dictaphone ou smartphone</w:t>
      </w:r>
    </w:p>
    <w:p>
      <w:pPr>
        <w:pStyle w:val="ListBullet"/>
        <w:spacing w:before="0" w:after="60" w:line="276" w:lineRule="auto"/>
      </w:pPr>
      <w:r>
        <w:rPr>
          <w:rFonts w:ascii="Calibri" w:hAnsi="Calibri"/>
          <w:b w:val="0"/>
          <w:sz w:val="22"/>
        </w:rPr>
        <w:t>Sortie attendue : compte rendu, e-mail client, archive assainie</w:t>
      </w:r>
    </w:p>
    <w:p>
      <w:pPr>
        <w:spacing w:before="280" w:after="120" w:line="276" w:lineRule="auto"/>
      </w:pPr>
      <w:r>
        <w:rPr>
          <w:rFonts w:ascii="Calibri" w:hAnsi="Calibri"/>
          <w:b/>
          <w:color w:val="2E74B5"/>
          <w:sz w:val="30"/>
        </w:rPr>
        <w:t>3. Architecture du workflow</w:t>
      </w:r>
    </w:p>
    <w:p>
      <w:pPr>
        <w:pStyle w:val="ListNumber"/>
        <w:spacing w:before="0" w:after="60" w:line="276" w:lineRule="auto"/>
      </w:pPr>
      <w:r>
        <w:rPr>
          <w:rFonts w:ascii="Calibri" w:hAnsi="Calibri"/>
          <w:b w:val="0"/>
          <w:sz w:val="22"/>
        </w:rPr>
        <w:t>Entrée du recording</w:t>
      </w:r>
    </w:p>
    <w:p>
      <w:pPr>
        <w:pStyle w:val="ListNumber"/>
        <w:spacing w:before="0" w:after="60" w:line="276" w:lineRule="auto"/>
      </w:pPr>
      <w:r>
        <w:rPr>
          <w:rFonts w:ascii="Calibri" w:hAnsi="Calibri"/>
          <w:b w:val="0"/>
          <w:sz w:val="22"/>
        </w:rPr>
        <w:t>Normalisation des métadonnées</w:t>
      </w:r>
    </w:p>
    <w:p>
      <w:pPr>
        <w:pStyle w:val="ListNumber"/>
        <w:spacing w:before="0" w:after="60" w:line="276" w:lineRule="auto"/>
      </w:pPr>
      <w:r>
        <w:rPr>
          <w:rFonts w:ascii="Calibri" w:hAnsi="Calibri"/>
          <w:b w:val="0"/>
          <w:sz w:val="22"/>
        </w:rPr>
        <w:t>Récupération ou réception de l’audio</w:t>
      </w:r>
    </w:p>
    <w:p>
      <w:pPr>
        <w:pStyle w:val="ListNumber"/>
        <w:spacing w:before="0" w:after="60" w:line="276" w:lineRule="auto"/>
      </w:pPr>
      <w:r>
        <w:rPr>
          <w:rFonts w:ascii="Calibri" w:hAnsi="Calibri"/>
          <w:b w:val="0"/>
          <w:sz w:val="22"/>
        </w:rPr>
        <w:t>Découpage audio</w:t>
      </w:r>
    </w:p>
    <w:p>
      <w:pPr>
        <w:pStyle w:val="ListNumber"/>
        <w:spacing w:before="0" w:after="60" w:line="276" w:lineRule="auto"/>
      </w:pPr>
      <w:r>
        <w:rPr>
          <w:rFonts w:ascii="Calibri" w:hAnsi="Calibri"/>
          <w:b w:val="0"/>
          <w:sz w:val="22"/>
        </w:rPr>
        <w:t>Transcription OpenAI</w:t>
      </w:r>
    </w:p>
    <w:p>
      <w:pPr>
        <w:pStyle w:val="ListNumber"/>
        <w:spacing w:before="0" w:after="60" w:line="276" w:lineRule="auto"/>
      </w:pPr>
      <w:r>
        <w:rPr>
          <w:rFonts w:ascii="Calibri" w:hAnsi="Calibri"/>
          <w:b w:val="0"/>
          <w:sz w:val="22"/>
        </w:rPr>
        <w:t>Pseudonymisation locale</w:t>
      </w:r>
    </w:p>
    <w:p>
      <w:pPr>
        <w:pStyle w:val="ListNumber"/>
        <w:spacing w:before="0" w:after="60" w:line="276" w:lineRule="auto"/>
      </w:pPr>
      <w:r>
        <w:rPr>
          <w:rFonts w:ascii="Calibri" w:hAnsi="Calibri"/>
          <w:b w:val="0"/>
          <w:sz w:val="22"/>
        </w:rPr>
        <w:t>Génération du rapport assaini</w:t>
      </w:r>
    </w:p>
    <w:p>
      <w:pPr>
        <w:pStyle w:val="ListNumber"/>
        <w:spacing w:before="0" w:after="60" w:line="276" w:lineRule="auto"/>
      </w:pPr>
      <w:r>
        <w:rPr>
          <w:rFonts w:ascii="Calibri" w:hAnsi="Calibri"/>
          <w:b w:val="0"/>
          <w:sz w:val="22"/>
        </w:rPr>
        <w:t>Validation humaine puis envoi final</w:t>
      </w:r>
    </w:p>
    <w:p>
      <w:pPr>
        <w:spacing w:before="280" w:after="120" w:line="276" w:lineRule="auto"/>
      </w:pPr>
      <w:r>
        <w:rPr>
          <w:rFonts w:ascii="Calibri" w:hAnsi="Calibri"/>
          <w:b/>
          <w:color w:val="2E74B5"/>
          <w:sz w:val="30"/>
        </w:rPr>
        <w:t>4. Modes d’entrée supportés</w:t>
      </w:r>
    </w:p>
    <w:p>
      <w:pPr>
        <w:spacing w:before="200" w:after="80" w:line="276" w:lineRule="auto"/>
      </w:pPr>
      <w:r>
        <w:rPr>
          <w:rFonts w:ascii="Calibri" w:hAnsi="Calibri"/>
          <w:b/>
          <w:color w:val="2E74B5"/>
          <w:sz w:val="25"/>
        </w:rPr>
        <w:t>4.1 Upload manuel</w:t>
      </w:r>
    </w:p>
    <w:p>
      <w:pPr>
        <w:spacing w:before="0" w:after="120" w:line="276" w:lineRule="auto"/>
      </w:pPr>
      <w:r>
        <w:rPr>
          <w:rFonts w:ascii="Calibri" w:hAnsi="Calibri"/>
          <w:b w:val="0"/>
          <w:sz w:val="22"/>
        </w:rPr>
        <w:t>À utiliser pour les fichiers .m4a, .mp3, les exports smartphone et les exports dictaphone.</w:t>
      </w:r>
    </w:p>
    <w:p>
      <w:pPr>
        <w:spacing w:before="200" w:after="80" w:line="276" w:lineRule="auto"/>
      </w:pPr>
      <w:r>
        <w:rPr>
          <w:rFonts w:ascii="Calibri" w:hAnsi="Calibri"/>
          <w:b/>
          <w:color w:val="2E74B5"/>
          <w:sz w:val="25"/>
        </w:rPr>
        <w:t>4.2 Google Drive</w:t>
      </w:r>
    </w:p>
    <w:p>
      <w:pPr>
        <w:spacing w:before="0" w:after="120" w:line="276" w:lineRule="auto"/>
      </w:pPr>
      <w:r>
        <w:rPr>
          <w:rFonts w:ascii="Calibri" w:hAnsi="Calibri"/>
          <w:b w:val="0"/>
          <w:sz w:val="22"/>
        </w:rPr>
        <w:t>À utiliser si les fichiers sont déposés dans un dossier surveillé ou si un lien Drive est fourni dans le formulaire.</w:t>
      </w:r>
    </w:p>
    <w:p>
      <w:pPr>
        <w:spacing w:before="200" w:after="80" w:line="276" w:lineRule="auto"/>
      </w:pPr>
      <w:r>
        <w:rPr>
          <w:rFonts w:ascii="Calibri" w:hAnsi="Calibri"/>
          <w:b/>
          <w:color w:val="2E74B5"/>
          <w:sz w:val="25"/>
        </w:rPr>
        <w:t>4.3 Webhook plateforme meeting</w:t>
      </w:r>
    </w:p>
    <w:p>
      <w:pPr>
        <w:spacing w:before="0" w:after="120" w:line="276" w:lineRule="auto"/>
      </w:pPr>
      <w:r>
        <w:rPr>
          <w:rFonts w:ascii="Calibri" w:hAnsi="Calibri"/>
          <w:b w:val="0"/>
          <w:sz w:val="22"/>
        </w:rPr>
        <w:t>À utiliser si un workflow amont Zoom, Teams ou Webex récupère le recording puis appelle le webhook d’ingestion du workflow 128.</w:t>
      </w:r>
    </w:p>
    <w:p>
      <w:pPr>
        <w:spacing w:before="280" w:after="120" w:line="276" w:lineRule="auto"/>
      </w:pPr>
      <w:r>
        <w:rPr>
          <w:rFonts w:ascii="Calibri" w:hAnsi="Calibri"/>
          <w:b/>
          <w:color w:val="2E74B5"/>
          <w:sz w:val="30"/>
        </w:rPr>
        <w:t>5. Pré-requis techniques</w:t>
      </w:r>
    </w:p>
    <w:tbl>
      <w:tblPr>
        <w:tblStyle w:val="TableGrid"/>
        <w:tblW w:type="auto" w:w="0"/>
        <w:tblLayout w:type="fixed"/>
        <w:tblLook w:firstColumn="1" w:firstRow="1" w:lastColumn="0" w:lastRow="0" w:noHBand="0" w:noVBand="1" w:val="04A0"/>
      </w:tblPr>
      <w:tblGrid>
        <w:gridCol w:w="2736"/>
        <w:gridCol w:w="6624"/>
      </w:tblGrid>
      <w:tr>
        <w:tc>
          <w:tcPr>
            <w:tcW w:type="dxa" w:w="4680"/>
            <w:shd w:fill="E8EEF5"/>
          </w:tcPr>
          <w:p>
            <w:pPr>
              <w:spacing w:before="0" w:after="0" w:line="240" w:lineRule="auto"/>
            </w:pPr>
            <w:r>
              <w:rPr>
                <w:rFonts w:ascii="Calibri" w:hAnsi="Calibri"/>
                <w:b/>
                <w:color w:val="10263F"/>
                <w:sz w:val="21"/>
              </w:rPr>
              <w:t>Élément</w:t>
            </w:r>
          </w:p>
        </w:tc>
        <w:tc>
          <w:tcPr>
            <w:tcW w:type="dxa" w:w="4680"/>
            <w:shd w:fill="E8EEF5"/>
          </w:tcPr>
          <w:p>
            <w:pPr>
              <w:spacing w:before="0" w:after="0" w:line="240" w:lineRule="auto"/>
            </w:pPr>
            <w:r>
              <w:rPr>
                <w:rFonts w:ascii="Calibri" w:hAnsi="Calibri"/>
                <w:b/>
                <w:color w:val="10263F"/>
                <w:sz w:val="21"/>
              </w:rPr>
              <w:t>Configuration</w:t>
            </w:r>
          </w:p>
        </w:tc>
      </w:tr>
      <w:tr>
        <w:tc>
          <w:tcPr>
            <w:tcW w:type="dxa" w:w="2736"/>
          </w:tcPr>
          <w:p>
            <w:pPr>
              <w:spacing w:before="0" w:after="0" w:line="259" w:lineRule="auto"/>
            </w:pPr>
            <w:r>
              <w:rPr>
                <w:rFonts w:ascii="Calibri" w:hAnsi="Calibri"/>
                <w:b/>
                <w:sz w:val="21"/>
              </w:rPr>
              <w:t>Clé OpenAI</w:t>
            </w:r>
          </w:p>
        </w:tc>
        <w:tc>
          <w:tcPr>
            <w:tcW w:type="dxa" w:w="6624"/>
          </w:tcPr>
          <w:p>
            <w:pPr>
              <w:spacing w:before="0" w:after="0" w:line="259" w:lineRule="auto"/>
            </w:pPr>
            <w:r>
              <w:rPr>
                <w:rFonts w:ascii="Calibri" w:hAnsi="Calibri"/>
                <w:b w:val="0"/>
                <w:sz w:val="21"/>
              </w:rPr>
              <w:t>Variable d’environnement OPENAI_API_KEY</w:t>
            </w:r>
          </w:p>
        </w:tc>
      </w:tr>
      <w:tr>
        <w:tc>
          <w:tcPr>
            <w:tcW w:type="dxa" w:w="2736"/>
          </w:tcPr>
          <w:p>
            <w:pPr>
              <w:spacing w:before="0" w:after="0" w:line="259" w:lineRule="auto"/>
            </w:pPr>
            <w:r>
              <w:rPr>
                <w:rFonts w:ascii="Calibri" w:hAnsi="Calibri"/>
                <w:b/>
                <w:sz w:val="21"/>
              </w:rPr>
              <w:t>Clé Resend</w:t>
            </w:r>
          </w:p>
        </w:tc>
        <w:tc>
          <w:tcPr>
            <w:tcW w:type="dxa" w:w="6624"/>
          </w:tcPr>
          <w:p>
            <w:pPr>
              <w:spacing w:before="0" w:after="0" w:line="259" w:lineRule="auto"/>
            </w:pPr>
            <w:r>
              <w:rPr>
                <w:rFonts w:ascii="Calibri" w:hAnsi="Calibri"/>
                <w:b w:val="0"/>
                <w:sz w:val="21"/>
              </w:rPr>
              <w:t>Variable d’environnement RESEND_API_KEY</w:t>
            </w:r>
          </w:p>
        </w:tc>
      </w:tr>
      <w:tr>
        <w:tc>
          <w:tcPr>
            <w:tcW w:type="dxa" w:w="2736"/>
          </w:tcPr>
          <w:p>
            <w:pPr>
              <w:spacing w:before="0" w:after="0" w:line="259" w:lineRule="auto"/>
            </w:pPr>
            <w:r>
              <w:rPr>
                <w:rFonts w:ascii="Calibri" w:hAnsi="Calibri"/>
                <w:b/>
                <w:sz w:val="21"/>
              </w:rPr>
              <w:t>Modèle rapport</w:t>
            </w:r>
          </w:p>
        </w:tc>
        <w:tc>
          <w:tcPr>
            <w:tcW w:type="dxa" w:w="6624"/>
          </w:tcPr>
          <w:p>
            <w:pPr>
              <w:spacing w:before="0" w:after="0" w:line="259" w:lineRule="auto"/>
            </w:pPr>
            <w:r>
              <w:rPr>
                <w:rFonts w:ascii="Calibri" w:hAnsi="Calibri"/>
                <w:b w:val="0"/>
                <w:sz w:val="21"/>
              </w:rPr>
              <w:t>gpt-5 recommandé ; sinon gpt-4.1 ou gpt-4o</w:t>
            </w:r>
          </w:p>
        </w:tc>
      </w:tr>
      <w:tr>
        <w:tc>
          <w:tcPr>
            <w:tcW w:type="dxa" w:w="2736"/>
          </w:tcPr>
          <w:p>
            <w:pPr>
              <w:spacing w:before="0" w:after="0" w:line="259" w:lineRule="auto"/>
            </w:pPr>
            <w:r>
              <w:rPr>
                <w:rFonts w:ascii="Calibri" w:hAnsi="Calibri"/>
                <w:b/>
                <w:sz w:val="21"/>
              </w:rPr>
              <w:t>Google Drive</w:t>
            </w:r>
          </w:p>
        </w:tc>
        <w:tc>
          <w:tcPr>
            <w:tcW w:type="dxa" w:w="6624"/>
          </w:tcPr>
          <w:p>
            <w:pPr>
              <w:spacing w:before="0" w:after="0" w:line="259" w:lineRule="auto"/>
            </w:pPr>
            <w:r>
              <w:rPr>
                <w:rFonts w:ascii="Calibri" w:hAnsi="Calibri"/>
                <w:b w:val="0"/>
                <w:sz w:val="21"/>
              </w:rPr>
              <w:t>Credential OAuth actif pour lecture et archivage</w:t>
            </w:r>
          </w:p>
        </w:tc>
      </w:tr>
      <w:tr>
        <w:tc>
          <w:tcPr>
            <w:tcW w:type="dxa" w:w="2736"/>
          </w:tcPr>
          <w:p>
            <w:pPr>
              <w:spacing w:before="0" w:after="0" w:line="259" w:lineRule="auto"/>
            </w:pPr>
            <w:r>
              <w:rPr>
                <w:rFonts w:ascii="Calibri" w:hAnsi="Calibri"/>
                <w:b/>
                <w:sz w:val="21"/>
              </w:rPr>
              <w:t>Découpage audio</w:t>
            </w:r>
          </w:p>
        </w:tc>
        <w:tc>
          <w:tcPr>
            <w:tcW w:type="dxa" w:w="6624"/>
          </w:tcPr>
          <w:p>
            <w:pPr>
              <w:spacing w:before="0" w:after="0" w:line="259" w:lineRule="auto"/>
            </w:pPr>
            <w:r>
              <w:rPr>
                <w:rFonts w:ascii="Calibri" w:hAnsi="Calibri"/>
                <w:b w:val="0"/>
                <w:sz w:val="21"/>
              </w:rPr>
              <w:t>Service disponible sur http://n8n-pxlk-audio-splitter-1:8000/split</w:t>
            </w:r>
          </w:p>
        </w:tc>
      </w:tr>
      <w:tr>
        <w:tc>
          <w:tcPr>
            <w:tcW w:type="dxa" w:w="2736"/>
          </w:tcPr>
          <w:p>
            <w:pPr>
              <w:spacing w:before="0" w:after="0" w:line="259" w:lineRule="auto"/>
            </w:pPr>
            <w:r>
              <w:rPr>
                <w:rFonts w:ascii="Calibri" w:hAnsi="Calibri"/>
                <w:b/>
                <w:sz w:val="21"/>
              </w:rPr>
              <w:t>Domaine webhook</w:t>
            </w:r>
          </w:p>
        </w:tc>
        <w:tc>
          <w:tcPr>
            <w:tcW w:type="dxa" w:w="6624"/>
          </w:tcPr>
          <w:p>
            <w:pPr>
              <w:spacing w:before="0" w:after="0" w:line="259" w:lineRule="auto"/>
            </w:pPr>
            <w:r>
              <w:rPr>
                <w:rFonts w:ascii="Calibri" w:hAnsi="Calibri"/>
                <w:b w:val="0"/>
                <w:sz w:val="21"/>
              </w:rPr>
              <w:t>https://n8n-pxlk.srv1480638.hstgr.cloud/webhook</w:t>
            </w:r>
          </w:p>
        </w:tc>
      </w:tr>
    </w:tbl>
    <w:p/>
    <w:p>
      <w:pPr>
        <w:spacing w:before="280" w:after="120" w:line="276" w:lineRule="auto"/>
      </w:pPr>
      <w:r>
        <w:rPr>
          <w:rFonts w:ascii="Calibri" w:hAnsi="Calibri"/>
          <w:b/>
          <w:color w:val="2E74B5"/>
          <w:sz w:val="30"/>
        </w:rPr>
        <w:t>6. Configuration pas à pas</w:t>
      </w:r>
    </w:p>
    <w:tbl>
      <w:tblPr>
        <w:tblStyle w:val="TableGrid"/>
        <w:tblW w:type="auto" w:w="0"/>
        <w:tblLayout w:type="fixed"/>
        <w:tblLook w:firstColumn="1" w:firstRow="1" w:lastColumn="0" w:lastRow="0" w:noHBand="0" w:noVBand="1" w:val="04A0"/>
      </w:tblPr>
      <w:tblGrid>
        <w:gridCol w:w="2736"/>
        <w:gridCol w:w="6624"/>
      </w:tblGrid>
      <w:tr>
        <w:tc>
          <w:tcPr>
            <w:tcW w:type="dxa" w:w="4680"/>
            <w:shd w:fill="E8EEF5"/>
          </w:tcPr>
          <w:p>
            <w:pPr>
              <w:spacing w:before="0" w:after="0" w:line="240" w:lineRule="auto"/>
            </w:pPr>
            <w:r>
              <w:rPr>
                <w:rFonts w:ascii="Calibri" w:hAnsi="Calibri"/>
                <w:b/>
                <w:color w:val="10263F"/>
                <w:sz w:val="21"/>
              </w:rPr>
              <w:t>Élément</w:t>
            </w:r>
          </w:p>
        </w:tc>
        <w:tc>
          <w:tcPr>
            <w:tcW w:type="dxa" w:w="4680"/>
            <w:shd w:fill="E8EEF5"/>
          </w:tcPr>
          <w:p>
            <w:pPr>
              <w:spacing w:before="0" w:after="0" w:line="240" w:lineRule="auto"/>
            </w:pPr>
            <w:r>
              <w:rPr>
                <w:rFonts w:ascii="Calibri" w:hAnsi="Calibri"/>
                <w:b/>
                <w:color w:val="10263F"/>
                <w:sz w:val="21"/>
              </w:rPr>
              <w:t>Configuration</w:t>
            </w:r>
          </w:p>
        </w:tc>
      </w:tr>
      <w:tr>
        <w:tc>
          <w:tcPr>
            <w:tcW w:type="dxa" w:w="2736"/>
          </w:tcPr>
          <w:p>
            <w:pPr>
              <w:spacing w:before="0" w:after="0" w:line="259" w:lineRule="auto"/>
            </w:pPr>
            <w:r>
              <w:rPr>
                <w:rFonts w:ascii="Calibri" w:hAnsi="Calibri"/>
                <w:b/>
                <w:sz w:val="21"/>
              </w:rPr>
              <w:t>Étape 1 - Importer le workflow</w:t>
            </w:r>
          </w:p>
        </w:tc>
        <w:tc>
          <w:tcPr>
            <w:tcW w:type="dxa" w:w="6624"/>
          </w:tcPr>
          <w:p>
            <w:pPr>
              <w:spacing w:before="0" w:after="0" w:line="259" w:lineRule="auto"/>
            </w:pPr>
            <w:r>
              <w:rPr>
                <w:rFonts w:ascii="Calibri" w:hAnsi="Calibri"/>
                <w:b w:val="0"/>
                <w:sz w:val="21"/>
              </w:rPr>
              <w:t>Dans n8n, ouvrir Workflows, choisir Import from file, puis sélectionner le fichier JSON du workflow 128.</w:t>
            </w:r>
          </w:p>
        </w:tc>
      </w:tr>
      <w:tr>
        <w:tc>
          <w:tcPr>
            <w:tcW w:type="dxa" w:w="2736"/>
          </w:tcPr>
          <w:p>
            <w:pPr>
              <w:spacing w:before="0" w:after="0" w:line="259" w:lineRule="auto"/>
            </w:pPr>
            <w:r>
              <w:rPr>
                <w:rFonts w:ascii="Calibri" w:hAnsi="Calibri"/>
                <w:b/>
                <w:sz w:val="21"/>
              </w:rPr>
              <w:t>Étape 2 - Vérifier les points d’entrée</w:t>
            </w:r>
          </w:p>
        </w:tc>
        <w:tc>
          <w:tcPr>
            <w:tcW w:type="dxa" w:w="6624"/>
          </w:tcPr>
          <w:p>
            <w:pPr>
              <w:spacing w:before="0" w:after="0" w:line="259" w:lineRule="auto"/>
            </w:pPr>
            <w:r>
              <w:rPr>
                <w:rFonts w:ascii="Calibri" w:hAnsi="Calibri"/>
                <w:b w:val="0"/>
                <w:sz w:val="21"/>
              </w:rPr>
              <w:t>Contrôler les nœuds Formulaire - Audio sensible, Google Drive - Nouveau fichier audio et Webhook - Ingestion plateforme meeting.</w:t>
            </w:r>
          </w:p>
        </w:tc>
      </w:tr>
      <w:tr>
        <w:tc>
          <w:tcPr>
            <w:tcW w:type="dxa" w:w="2736"/>
          </w:tcPr>
          <w:p>
            <w:pPr>
              <w:spacing w:before="0" w:after="0" w:line="259" w:lineRule="auto"/>
            </w:pPr>
            <w:r>
              <w:rPr>
                <w:rFonts w:ascii="Calibri" w:hAnsi="Calibri"/>
                <w:b/>
                <w:sz w:val="21"/>
              </w:rPr>
              <w:t>Étape 3 - Configurer le formulaire</w:t>
            </w:r>
          </w:p>
        </w:tc>
        <w:tc>
          <w:tcPr>
            <w:tcW w:type="dxa" w:w="6624"/>
          </w:tcPr>
          <w:p>
            <w:pPr>
              <w:spacing w:before="0" w:after="0" w:line="259" w:lineRule="auto"/>
            </w:pPr>
            <w:r>
              <w:rPr>
                <w:rFonts w:ascii="Calibri" w:hAnsi="Calibri"/>
                <w:b w:val="0"/>
                <w:sz w:val="21"/>
              </w:rPr>
              <w:t>Renseigner les champs sujet, participants, date, source d’enregistrement, mode d’ingestion, destinataire final, validateur, langue audio, langue de sortie, livrable demandé, entités sensibles à masquer et niveau de masquage.</w:t>
            </w:r>
          </w:p>
        </w:tc>
      </w:tr>
      <w:tr>
        <w:tc>
          <w:tcPr>
            <w:tcW w:type="dxa" w:w="2736"/>
          </w:tcPr>
          <w:p>
            <w:pPr>
              <w:spacing w:before="0" w:after="0" w:line="259" w:lineRule="auto"/>
            </w:pPr>
            <w:r>
              <w:rPr>
                <w:rFonts w:ascii="Calibri" w:hAnsi="Calibri"/>
                <w:b/>
                <w:sz w:val="21"/>
              </w:rPr>
              <w:t>Étape 4 - Configurer le dossier source</w:t>
            </w:r>
          </w:p>
        </w:tc>
        <w:tc>
          <w:tcPr>
            <w:tcW w:type="dxa" w:w="6624"/>
          </w:tcPr>
          <w:p>
            <w:pPr>
              <w:spacing w:before="0" w:after="0" w:line="259" w:lineRule="auto"/>
            </w:pPr>
            <w:r>
              <w:rPr>
                <w:rFonts w:ascii="Calibri" w:hAnsi="Calibri"/>
                <w:b w:val="0"/>
                <w:sz w:val="21"/>
              </w:rPr>
              <w:t>Vérifier l’ID du dossier surveillé dans le nœud Google Drive - Nouveau fichier audio.</w:t>
            </w:r>
          </w:p>
        </w:tc>
      </w:tr>
      <w:tr>
        <w:tc>
          <w:tcPr>
            <w:tcW w:type="dxa" w:w="2736"/>
          </w:tcPr>
          <w:p>
            <w:pPr>
              <w:spacing w:before="0" w:after="0" w:line="259" w:lineRule="auto"/>
            </w:pPr>
            <w:r>
              <w:rPr>
                <w:rFonts w:ascii="Calibri" w:hAnsi="Calibri"/>
                <w:b/>
                <w:sz w:val="21"/>
              </w:rPr>
              <w:t>Étape 5 - Configurer le dossier d’archive</w:t>
            </w:r>
          </w:p>
        </w:tc>
        <w:tc>
          <w:tcPr>
            <w:tcW w:type="dxa" w:w="6624"/>
          </w:tcPr>
          <w:p>
            <w:pPr>
              <w:spacing w:before="0" w:after="0" w:line="259" w:lineRule="auto"/>
            </w:pPr>
            <w:r>
              <w:rPr>
                <w:rFonts w:ascii="Calibri" w:hAnsi="Calibri"/>
                <w:b w:val="0"/>
                <w:sz w:val="21"/>
              </w:rPr>
              <w:t>Vérifier l’ID du dossier d’archivage dans le nœud Archiver version assainie.</w:t>
            </w:r>
          </w:p>
        </w:tc>
      </w:tr>
      <w:tr>
        <w:tc>
          <w:tcPr>
            <w:tcW w:type="dxa" w:w="2736"/>
          </w:tcPr>
          <w:p>
            <w:pPr>
              <w:spacing w:before="0" w:after="0" w:line="259" w:lineRule="auto"/>
            </w:pPr>
            <w:r>
              <w:rPr>
                <w:rFonts w:ascii="Calibri" w:hAnsi="Calibri"/>
                <w:b/>
                <w:sz w:val="21"/>
              </w:rPr>
              <w:t>Étape 6 - Configurer Resend</w:t>
            </w:r>
          </w:p>
        </w:tc>
        <w:tc>
          <w:tcPr>
            <w:tcW w:type="dxa" w:w="6624"/>
          </w:tcPr>
          <w:p>
            <w:pPr>
              <w:spacing w:before="0" w:after="0" w:line="259" w:lineRule="auto"/>
            </w:pPr>
            <w:r>
              <w:rPr>
                <w:rFonts w:ascii="Calibri" w:hAnsi="Calibri"/>
                <w:b w:val="0"/>
                <w:sz w:val="21"/>
              </w:rPr>
              <w:t>Valider les nœuds Envoyer au validateur et Envoyer le livrable final assaini, ainsi que l’adresse expéditeur autorisée.</w:t>
            </w:r>
          </w:p>
        </w:tc>
      </w:tr>
      <w:tr>
        <w:tc>
          <w:tcPr>
            <w:tcW w:type="dxa" w:w="2736"/>
          </w:tcPr>
          <w:p>
            <w:pPr>
              <w:spacing w:before="0" w:after="0" w:line="259" w:lineRule="auto"/>
            </w:pPr>
            <w:r>
              <w:rPr>
                <w:rFonts w:ascii="Calibri" w:hAnsi="Calibri"/>
                <w:b/>
                <w:sz w:val="21"/>
              </w:rPr>
              <w:t>Étape 7 - Configurer OpenAI</w:t>
            </w:r>
          </w:p>
        </w:tc>
        <w:tc>
          <w:tcPr>
            <w:tcW w:type="dxa" w:w="6624"/>
          </w:tcPr>
          <w:p>
            <w:pPr>
              <w:spacing w:before="0" w:after="0" w:line="259" w:lineRule="auto"/>
            </w:pPr>
            <w:r>
              <w:rPr>
                <w:rFonts w:ascii="Calibri" w:hAnsi="Calibri"/>
                <w:b w:val="0"/>
                <w:sz w:val="21"/>
              </w:rPr>
              <w:t>Vérifier les nœuds OpenAI - Transcrire segment et OpenAI - Rapport structuré assaini.</w:t>
            </w:r>
          </w:p>
        </w:tc>
      </w:tr>
      <w:tr>
        <w:tc>
          <w:tcPr>
            <w:tcW w:type="dxa" w:w="2736"/>
          </w:tcPr>
          <w:p>
            <w:pPr>
              <w:spacing w:before="0" w:after="0" w:line="259" w:lineRule="auto"/>
            </w:pPr>
            <w:r>
              <w:rPr>
                <w:rFonts w:ascii="Calibri" w:hAnsi="Calibri"/>
                <w:b/>
                <w:sz w:val="21"/>
              </w:rPr>
              <w:t>Étape 8 - Vérifier les webhooks de validation</w:t>
            </w:r>
          </w:p>
        </w:tc>
        <w:tc>
          <w:tcPr>
            <w:tcW w:type="dxa" w:w="6624"/>
          </w:tcPr>
          <w:p>
            <w:pPr>
              <w:spacing w:before="0" w:after="0" w:line="259" w:lineRule="auto"/>
            </w:pPr>
            <w:r>
              <w:rPr>
                <w:rFonts w:ascii="Calibri" w:hAnsi="Calibri"/>
                <w:b w:val="0"/>
                <w:sz w:val="21"/>
              </w:rPr>
              <w:t>Contrôler les nœuds Webhook - Approuver et Webhook - Rejeter, ainsi que le domaine de production.</w:t>
            </w:r>
          </w:p>
        </w:tc>
      </w:tr>
      <w:tr>
        <w:tc>
          <w:tcPr>
            <w:tcW w:type="dxa" w:w="2736"/>
          </w:tcPr>
          <w:p>
            <w:pPr>
              <w:spacing w:before="0" w:after="0" w:line="259" w:lineRule="auto"/>
            </w:pPr>
            <w:r>
              <w:rPr>
                <w:rFonts w:ascii="Calibri" w:hAnsi="Calibri"/>
                <w:b/>
                <w:sz w:val="21"/>
              </w:rPr>
              <w:t>Étape 9 - Lancer un test pilote</w:t>
            </w:r>
          </w:p>
        </w:tc>
        <w:tc>
          <w:tcPr>
            <w:tcW w:type="dxa" w:w="6624"/>
          </w:tcPr>
          <w:p>
            <w:pPr>
              <w:spacing w:before="0" w:after="0" w:line="259" w:lineRule="auto"/>
            </w:pPr>
            <w:r>
              <w:rPr>
                <w:rFonts w:ascii="Calibri" w:hAnsi="Calibri"/>
                <w:b w:val="0"/>
                <w:sz w:val="21"/>
              </w:rPr>
              <w:t>Faire un test avec un petit enregistrement, approuver le livrable, puis vérifier l’archive HTML.</w:t>
            </w:r>
          </w:p>
        </w:tc>
      </w:tr>
    </w:tbl>
    <w:p/>
    <w:p>
      <w:pPr>
        <w:spacing w:before="280" w:after="120" w:line="276" w:lineRule="auto"/>
      </w:pPr>
      <w:r>
        <w:rPr>
          <w:rFonts w:ascii="Calibri" w:hAnsi="Calibri"/>
          <w:b/>
          <w:color w:val="2E74B5"/>
          <w:sz w:val="30"/>
        </w:rPr>
        <w:t>7. Paramétrage conseillé pour la session juillet / août 2026</w:t>
      </w:r>
    </w:p>
    <w:p>
      <w:pPr>
        <w:pStyle w:val="ListBullet"/>
        <w:spacing w:before="0" w:after="60" w:line="276" w:lineRule="auto"/>
      </w:pPr>
      <w:r>
        <w:rPr>
          <w:rFonts w:ascii="Calibri" w:hAnsi="Calibri"/>
          <w:b w:val="0"/>
          <w:sz w:val="22"/>
        </w:rPr>
        <w:t>Livrable demandé : Les deux</w:t>
      </w:r>
    </w:p>
    <w:p>
      <w:pPr>
        <w:pStyle w:val="ListBullet"/>
        <w:spacing w:before="0" w:after="60" w:line="276" w:lineRule="auto"/>
      </w:pPr>
      <w:r>
        <w:rPr>
          <w:rFonts w:ascii="Calibri" w:hAnsi="Calibri"/>
          <w:b w:val="0"/>
          <w:sz w:val="22"/>
        </w:rPr>
        <w:t>Niveau de masquage : Strict</w:t>
      </w:r>
    </w:p>
    <w:p>
      <w:pPr>
        <w:pStyle w:val="ListBullet"/>
        <w:spacing w:before="0" w:after="60" w:line="276" w:lineRule="auto"/>
      </w:pPr>
      <w:r>
        <w:rPr>
          <w:rFonts w:ascii="Calibri" w:hAnsi="Calibri"/>
          <w:b w:val="0"/>
          <w:sz w:val="22"/>
        </w:rPr>
        <w:t>Langue de sortie : Français</w:t>
      </w:r>
    </w:p>
    <w:p>
      <w:pPr>
        <w:pStyle w:val="ListBullet"/>
        <w:spacing w:before="0" w:after="60" w:line="276" w:lineRule="auto"/>
      </w:pPr>
      <w:r>
        <w:rPr>
          <w:rFonts w:ascii="Calibri" w:hAnsi="Calibri"/>
          <w:b w:val="0"/>
          <w:sz w:val="22"/>
        </w:rPr>
        <w:t>Dossier source : Recordings - Formation IA - Juillet Août 2026</w:t>
      </w:r>
    </w:p>
    <w:p>
      <w:pPr>
        <w:pStyle w:val="ListBullet"/>
        <w:spacing w:before="0" w:after="60" w:line="276" w:lineRule="auto"/>
      </w:pPr>
      <w:r>
        <w:rPr>
          <w:rFonts w:ascii="Calibri" w:hAnsi="Calibri"/>
          <w:b w:val="0"/>
          <w:sz w:val="22"/>
        </w:rPr>
        <w:t>Dossier archive : Archives assainies - Formation IA - Juillet Août 2026</w:t>
      </w:r>
    </w:p>
    <w:p>
      <w:pPr>
        <w:spacing w:before="280" w:after="120" w:line="276" w:lineRule="auto"/>
      </w:pPr>
      <w:r>
        <w:rPr>
          <w:rFonts w:ascii="Calibri" w:hAnsi="Calibri"/>
          <w:b/>
          <w:color w:val="2E74B5"/>
          <w:sz w:val="30"/>
        </w:rPr>
        <w:t>8. Configuration des sources de réunion</w:t>
      </w:r>
    </w:p>
    <w:p>
      <w:pPr>
        <w:spacing w:before="200" w:after="80" w:line="276" w:lineRule="auto"/>
      </w:pPr>
      <w:r>
        <w:rPr>
          <w:rFonts w:ascii="Calibri" w:hAnsi="Calibri"/>
          <w:b/>
          <w:color w:val="2E74B5"/>
          <w:sz w:val="25"/>
        </w:rPr>
        <w:t>8.1 Dictaphone</w:t>
      </w:r>
    </w:p>
    <w:p>
      <w:pPr>
        <w:pStyle w:val="ListBullet"/>
        <w:spacing w:before="0" w:after="60" w:line="276" w:lineRule="auto"/>
      </w:pPr>
      <w:r>
        <w:rPr>
          <w:rFonts w:ascii="Calibri" w:hAnsi="Calibri"/>
          <w:b w:val="0"/>
          <w:sz w:val="22"/>
        </w:rPr>
        <w:t>Mode simple : exporter le fichier puis l’envoyer via le formulaire.</w:t>
      </w:r>
    </w:p>
    <w:p>
      <w:pPr>
        <w:pStyle w:val="ListBullet"/>
        <w:spacing w:before="0" w:after="60" w:line="276" w:lineRule="auto"/>
      </w:pPr>
      <w:r>
        <w:rPr>
          <w:rFonts w:ascii="Calibri" w:hAnsi="Calibri"/>
          <w:b w:val="0"/>
          <w:sz w:val="22"/>
        </w:rPr>
        <w:t>Mode semi-automatique : synchroniser les fichiers vers un dossier Google Drive surveillé.</w:t>
      </w:r>
    </w:p>
    <w:p>
      <w:pPr>
        <w:spacing w:before="200" w:after="80" w:line="276" w:lineRule="auto"/>
      </w:pPr>
      <w:r>
        <w:rPr>
          <w:rFonts w:ascii="Calibri" w:hAnsi="Calibri"/>
          <w:b/>
          <w:color w:val="2E74B5"/>
          <w:sz w:val="25"/>
        </w:rPr>
        <w:t>8.2 Zoom</w:t>
      </w:r>
    </w:p>
    <w:p>
      <w:pPr>
        <w:pStyle w:val="ListBullet"/>
        <w:spacing w:before="0" w:after="60" w:line="276" w:lineRule="auto"/>
      </w:pPr>
      <w:r>
        <w:rPr>
          <w:rFonts w:ascii="Calibri" w:hAnsi="Calibri"/>
          <w:b w:val="0"/>
          <w:sz w:val="22"/>
        </w:rPr>
        <w:t>Activer Cloud Recording dans Zoom.</w:t>
      </w:r>
    </w:p>
    <w:p>
      <w:pPr>
        <w:pStyle w:val="ListBullet"/>
        <w:spacing w:before="0" w:after="60" w:line="276" w:lineRule="auto"/>
      </w:pPr>
      <w:r>
        <w:rPr>
          <w:rFonts w:ascii="Calibri" w:hAnsi="Calibri"/>
          <w:b w:val="0"/>
          <w:sz w:val="22"/>
        </w:rPr>
        <w:t>Utiliser un workflow amont recevant l’événement recording.completed.</w:t>
      </w:r>
    </w:p>
    <w:p>
      <w:pPr>
        <w:pStyle w:val="ListBullet"/>
        <w:spacing w:before="0" w:after="60" w:line="276" w:lineRule="auto"/>
      </w:pPr>
      <w:r>
        <w:rPr>
          <w:rFonts w:ascii="Calibri" w:hAnsi="Calibri"/>
          <w:b w:val="0"/>
          <w:sz w:val="22"/>
        </w:rPr>
        <w:t>Télécharger le recording puis appeler le webhook cr-intl-source-ingest.</w:t>
      </w:r>
    </w:p>
    <w:p>
      <w:pPr>
        <w:spacing w:before="200" w:after="80" w:line="276" w:lineRule="auto"/>
      </w:pPr>
      <w:r>
        <w:rPr>
          <w:rFonts w:ascii="Calibri" w:hAnsi="Calibri"/>
          <w:b/>
          <w:color w:val="2E74B5"/>
          <w:sz w:val="25"/>
        </w:rPr>
        <w:t>8.3 Microsoft Teams</w:t>
      </w:r>
    </w:p>
    <w:p>
      <w:pPr>
        <w:pStyle w:val="ListBullet"/>
        <w:spacing w:before="0" w:after="60" w:line="276" w:lineRule="auto"/>
      </w:pPr>
      <w:r>
        <w:rPr>
          <w:rFonts w:ascii="Calibri" w:hAnsi="Calibri"/>
          <w:b w:val="0"/>
          <w:sz w:val="22"/>
        </w:rPr>
        <w:t>Récupérer les enregistrements dans OneDrive ou SharePoint.</w:t>
      </w:r>
    </w:p>
    <w:p>
      <w:pPr>
        <w:pStyle w:val="ListBullet"/>
        <w:spacing w:before="0" w:after="60" w:line="276" w:lineRule="auto"/>
      </w:pPr>
      <w:r>
        <w:rPr>
          <w:rFonts w:ascii="Calibri" w:hAnsi="Calibri"/>
          <w:b w:val="0"/>
          <w:sz w:val="22"/>
        </w:rPr>
        <w:t>Passer par Microsoft Graph ou un workflow de collecte amont.</w:t>
      </w:r>
    </w:p>
    <w:p>
      <w:pPr>
        <w:pStyle w:val="ListBullet"/>
        <w:spacing w:before="0" w:after="60" w:line="276" w:lineRule="auto"/>
      </w:pPr>
      <w:r>
        <w:rPr>
          <w:rFonts w:ascii="Calibri" w:hAnsi="Calibri"/>
          <w:b w:val="0"/>
          <w:sz w:val="22"/>
        </w:rPr>
        <w:t>Transmettre ensuite le binaire ou les métadonnées au workflow 128.</w:t>
      </w:r>
    </w:p>
    <w:p>
      <w:pPr>
        <w:spacing w:before="200" w:after="80" w:line="276" w:lineRule="auto"/>
      </w:pPr>
      <w:r>
        <w:rPr>
          <w:rFonts w:ascii="Calibri" w:hAnsi="Calibri"/>
          <w:b/>
          <w:color w:val="2E74B5"/>
          <w:sz w:val="25"/>
        </w:rPr>
        <w:t>8.4 Webex</w:t>
      </w:r>
    </w:p>
    <w:p>
      <w:pPr>
        <w:pStyle w:val="ListBullet"/>
        <w:spacing w:before="0" w:after="60" w:line="276" w:lineRule="auto"/>
      </w:pPr>
      <w:r>
        <w:rPr>
          <w:rFonts w:ascii="Calibri" w:hAnsi="Calibri"/>
          <w:b w:val="0"/>
          <w:sz w:val="22"/>
        </w:rPr>
        <w:t>Activer les recordings Webex.</w:t>
      </w:r>
    </w:p>
    <w:p>
      <w:pPr>
        <w:pStyle w:val="ListBullet"/>
        <w:spacing w:before="0" w:after="60" w:line="276" w:lineRule="auto"/>
      </w:pPr>
      <w:r>
        <w:rPr>
          <w:rFonts w:ascii="Calibri" w:hAnsi="Calibri"/>
          <w:b w:val="0"/>
          <w:sz w:val="22"/>
        </w:rPr>
        <w:t>Utiliser l’API Recordings pour récupérer le fichier.</w:t>
      </w:r>
    </w:p>
    <w:p>
      <w:pPr>
        <w:pStyle w:val="ListBullet"/>
        <w:spacing w:before="0" w:after="60" w:line="276" w:lineRule="auto"/>
      </w:pPr>
      <w:r>
        <w:rPr>
          <w:rFonts w:ascii="Calibri" w:hAnsi="Calibri"/>
          <w:b w:val="0"/>
          <w:sz w:val="22"/>
        </w:rPr>
        <w:t>Faire suivre le recording vers le webhook d’ingestion du workflow 128.</w:t>
      </w:r>
    </w:p>
    <w:p>
      <w:pPr>
        <w:spacing w:before="280" w:after="120" w:line="276" w:lineRule="auto"/>
      </w:pPr>
      <w:r>
        <w:rPr>
          <w:rFonts w:ascii="Calibri" w:hAnsi="Calibri"/>
          <w:b/>
          <w:color w:val="2E74B5"/>
          <w:sz w:val="30"/>
        </w:rPr>
        <w:t>9. Structure attendue pour le webhook d’ingestion</w:t>
      </w:r>
    </w:p>
    <w:p>
      <w:pPr>
        <w:spacing w:before="0" w:after="120" w:line="276" w:lineRule="auto"/>
      </w:pPr>
      <w:r>
        <w:rPr>
          <w:rFonts w:ascii="Calibri" w:hAnsi="Calibri"/>
          <w:b w:val="0"/>
          <w:sz w:val="22"/>
        </w:rPr>
        <w:t>Le webhook cr-intl-source-ingest doit idéalement recevoir : source_system, source_label, meeting_title, meeting_date, participants, e-mail destinataire, e-mail validateur, langue, niveau de masquage, référence de réunion, objet source et recording_url. Si possible, transmettre directement le binaire audio.</w:t>
      </w:r>
    </w:p>
    <w:p>
      <w:pPr>
        <w:spacing w:before="280" w:after="120" w:line="276" w:lineRule="auto"/>
      </w:pPr>
      <w:r>
        <w:rPr>
          <w:rFonts w:ascii="Calibri" w:hAnsi="Calibri"/>
          <w:b/>
          <w:color w:val="2E74B5"/>
          <w:sz w:val="30"/>
        </w:rPr>
        <w:t>10. Checklist de mise en production</w:t>
      </w:r>
    </w:p>
    <w:p>
      <w:pPr>
        <w:pStyle w:val="ListBullet"/>
        <w:spacing w:before="0" w:after="60" w:line="276" w:lineRule="auto"/>
      </w:pPr>
      <w:r>
        <w:rPr>
          <w:rFonts w:ascii="Calibri" w:hAnsi="Calibri"/>
          <w:b w:val="0"/>
          <w:sz w:val="22"/>
        </w:rPr>
        <w:t>Le workflow s’importe sans erreur.</w:t>
      </w:r>
    </w:p>
    <w:p>
      <w:pPr>
        <w:pStyle w:val="ListBullet"/>
        <w:spacing w:before="0" w:after="60" w:line="276" w:lineRule="auto"/>
      </w:pPr>
      <w:r>
        <w:rPr>
          <w:rFonts w:ascii="Calibri" w:hAnsi="Calibri"/>
          <w:b w:val="0"/>
          <w:sz w:val="22"/>
        </w:rPr>
        <w:t>Google Drive est connecté.</w:t>
      </w:r>
    </w:p>
    <w:p>
      <w:pPr>
        <w:pStyle w:val="ListBullet"/>
        <w:spacing w:before="0" w:after="60" w:line="276" w:lineRule="auto"/>
      </w:pPr>
      <w:r>
        <w:rPr>
          <w:rFonts w:ascii="Calibri" w:hAnsi="Calibri"/>
          <w:b w:val="0"/>
          <w:sz w:val="22"/>
        </w:rPr>
        <w:t>Resend est connecté.</w:t>
      </w:r>
    </w:p>
    <w:p>
      <w:pPr>
        <w:pStyle w:val="ListBullet"/>
        <w:spacing w:before="0" w:after="60" w:line="276" w:lineRule="auto"/>
      </w:pPr>
      <w:r>
        <w:rPr>
          <w:rFonts w:ascii="Calibri" w:hAnsi="Calibri"/>
          <w:b w:val="0"/>
          <w:sz w:val="22"/>
        </w:rPr>
        <w:t>OpenAI est connecté.</w:t>
      </w:r>
    </w:p>
    <w:p>
      <w:pPr>
        <w:pStyle w:val="ListBullet"/>
        <w:spacing w:before="0" w:after="60" w:line="276" w:lineRule="auto"/>
      </w:pPr>
      <w:r>
        <w:rPr>
          <w:rFonts w:ascii="Calibri" w:hAnsi="Calibri"/>
          <w:b w:val="0"/>
          <w:sz w:val="22"/>
        </w:rPr>
        <w:t>Le service de découpage audio répond.</w:t>
      </w:r>
    </w:p>
    <w:p>
      <w:pPr>
        <w:pStyle w:val="ListBullet"/>
        <w:spacing w:before="0" w:after="60" w:line="276" w:lineRule="auto"/>
      </w:pPr>
      <w:r>
        <w:rPr>
          <w:rFonts w:ascii="Calibri" w:hAnsi="Calibri"/>
          <w:b w:val="0"/>
          <w:sz w:val="22"/>
        </w:rPr>
        <w:t>Le validateur reçoit l’aperçu.</w:t>
      </w:r>
    </w:p>
    <w:p>
      <w:pPr>
        <w:pStyle w:val="ListBullet"/>
        <w:spacing w:before="0" w:after="60" w:line="276" w:lineRule="auto"/>
      </w:pPr>
      <w:r>
        <w:rPr>
          <w:rFonts w:ascii="Calibri" w:hAnsi="Calibri"/>
          <w:b w:val="0"/>
          <w:sz w:val="22"/>
        </w:rPr>
        <w:t>L’archive HTML est créée.</w:t>
      </w:r>
    </w:p>
    <w:p>
      <w:pPr>
        <w:pStyle w:val="ListBullet"/>
        <w:spacing w:before="0" w:after="60" w:line="276" w:lineRule="auto"/>
      </w:pPr>
      <w:r>
        <w:rPr>
          <w:rFonts w:ascii="Calibri" w:hAnsi="Calibri"/>
          <w:b w:val="0"/>
          <w:sz w:val="22"/>
        </w:rPr>
        <w:t>Aucune version réidentifiée n’est envoyée au client.</w:t>
      </w:r>
    </w:p>
    <w:p>
      <w:pPr>
        <w:spacing w:before="280" w:after="120" w:line="276" w:lineRule="auto"/>
      </w:pPr>
      <w:r>
        <w:rPr>
          <w:rFonts w:ascii="Calibri" w:hAnsi="Calibri"/>
          <w:b/>
          <w:color w:val="2E74B5"/>
          <w:sz w:val="30"/>
        </w:rPr>
        <w:t>11. Recommandation finale</w:t>
      </w:r>
    </w:p>
    <w:p>
      <w:pPr>
        <w:spacing w:before="0" w:after="120" w:line="276" w:lineRule="auto"/>
      </w:pPr>
      <w:r>
        <w:rPr>
          <w:rFonts w:ascii="Calibri" w:hAnsi="Calibri"/>
          <w:b w:val="0"/>
          <w:sz w:val="22"/>
        </w:rPr>
        <w:t>Pour la session de formation juillet / août 2026, il est recommandé de démarrer avec l’upload manuel et Google Drive, de valider le processus métier et la qualité des rapports, puis d’ajouter dans un second temps des workflows d’ingestion dédiés à Zoom, Teams et Webex.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color w:val="777777"/>
        <w:sz w:val="18"/>
      </w:rPr>
      <w:t>Guide utilisateur Workflow 128 - TransferAI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777777"/>
        <w:sz w:val="18"/>
      </w:rPr>
      <w:t>TransferAI - Compte rendu de réunion sensible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