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40" w:lineRule="auto"/>
        <w:jc w:val="center"/>
      </w:pPr>
      <w:r>
        <w:rPr>
          <w:rFonts w:ascii="Calibri" w:hAnsi="Calibri"/>
          <w:b/>
          <w:color w:val="10263F"/>
          <w:sz w:val="40"/>
        </w:rPr>
        <w:t>User Guide - Workflow 128</w:t>
      </w:r>
    </w:p>
    <w:p>
      <w:pPr>
        <w:spacing w:before="0" w:after="280" w:line="240" w:lineRule="auto"/>
        <w:jc w:val="center"/>
      </w:pPr>
      <w:r>
        <w:rPr>
          <w:rFonts w:ascii="Calibri" w:hAnsi="Calibri"/>
          <w:b w:val="0"/>
          <w:color w:val="666666"/>
          <w:sz w:val="22"/>
        </w:rPr>
        <w:t>International meeting report, local pseudonymization, and multilingual sanitized deliverables</w:t>
      </w:r>
    </w:p>
    <w:p>
      <w:pPr>
        <w:spacing w:before="280" w:after="120" w:line="276" w:lineRule="auto"/>
      </w:pPr>
      <w:r>
        <w:rPr>
          <w:rFonts w:ascii="Calibri" w:hAnsi="Calibri"/>
          <w:b/>
          <w:color w:val="2E74B5"/>
          <w:sz w:val="30"/>
        </w:rPr>
        <w:t>1. Purpose of this document</w:t>
      </w:r>
    </w:p>
    <w:p>
      <w:pPr>
        <w:spacing w:before="0" w:after="120" w:line="276" w:lineRule="auto"/>
      </w:pPr>
      <w:r>
        <w:rPr>
          <w:rFonts w:ascii="Calibri" w:hAnsi="Calibri"/>
          <w:b w:val="0"/>
          <w:sz w:val="22"/>
        </w:rPr>
        <w:t>This guide explains how to use and configure workflow 128 to process sensitive meeting recordings, produce structured meeting reports, and generate sanitized external deliverables.</w:t>
      </w:r>
    </w:p>
    <w:p>
      <w:pPr>
        <w:spacing w:before="0" w:after="120" w:line="276" w:lineRule="auto"/>
      </w:pPr>
      <w:r>
        <w:rPr>
          <w:rFonts w:ascii="Calibri" w:hAnsi="Calibri"/>
          <w:b w:val="0"/>
          <w:sz w:val="22"/>
        </w:rPr>
        <w:t>The workflow is intended for recurring international use cases where confidentiality, human validation, and language consistency are critical.</w:t>
      </w:r>
    </w:p>
    <w:p>
      <w:pPr>
        <w:spacing w:before="280" w:after="120" w:line="276" w:lineRule="auto"/>
      </w:pPr>
      <w:r>
        <w:rPr>
          <w:rFonts w:ascii="Calibri" w:hAnsi="Calibri"/>
          <w:b/>
          <w:color w:val="2E74B5"/>
          <w:sz w:val="30"/>
        </w:rPr>
        <w:t>2. Recommended use case</w:t>
      </w:r>
    </w:p>
    <w:p>
      <w:pPr>
        <w:spacing w:before="0" w:after="120" w:line="276" w:lineRule="auto"/>
      </w:pPr>
      <w:r>
        <w:rPr>
          <w:rFonts w:ascii="Calibri" w:hAnsi="Calibri"/>
          <w:b w:val="0"/>
          <w:sz w:val="22"/>
        </w:rPr>
        <w:t>Workflow 128 can support several sensitive contexts: AI training sessions, international organizations operating in Côte d’Ivoire, chancelleries, embassies, public institutions, or multi-country programmes.</w:t>
      </w:r>
    </w:p>
    <w:p>
      <w:pPr>
        <w:spacing w:before="0" w:after="120" w:line="276" w:lineRule="auto"/>
      </w:pPr>
      <w:r>
        <w:rPr>
          <w:rFonts w:ascii="Calibri" w:hAnsi="Calibri"/>
          <w:b w:val="0"/>
          <w:sz w:val="22"/>
        </w:rPr>
        <w:t>Meetings may be recorded through Zoom, Webex, Microsoft Teams, a dictaphone, a smartphone, or a meeting room device.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sz w:val="22"/>
        </w:rPr>
        <w:t>Supported outputs: meeting report, follow-up email, sanitized HTML archive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sz w:val="22"/>
        </w:rPr>
        <w:t>Supported output languages: French, English, Spanish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sz w:val="22"/>
        </w:rPr>
        <w:t>Sensitive data is protected locally before any AI call</w:t>
      </w:r>
    </w:p>
    <w:p>
      <w:pPr>
        <w:spacing w:before="280" w:after="120" w:line="276" w:lineRule="auto"/>
      </w:pPr>
      <w:r>
        <w:rPr>
          <w:rFonts w:ascii="Calibri" w:hAnsi="Calibri"/>
          <w:b/>
          <w:color w:val="2E74B5"/>
          <w:sz w:val="30"/>
        </w:rPr>
        <w:t>3. Workflow architecture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sz w:val="22"/>
        </w:rPr>
        <w:t>Recording intake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sz w:val="22"/>
        </w:rPr>
        <w:t>Metadata normalization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sz w:val="22"/>
        </w:rPr>
        <w:t>Audio retrieval or reception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sz w:val="22"/>
        </w:rPr>
        <w:t>Audio splitting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sz w:val="22"/>
        </w:rPr>
        <w:t>OpenAI transcription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sz w:val="22"/>
        </w:rPr>
        <w:t>Local pseudonymization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sz w:val="22"/>
        </w:rPr>
        <w:t>Sanitized report generation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sz w:val="22"/>
        </w:rPr>
        <w:t>Human validation and final delivery</w:t>
      </w:r>
    </w:p>
    <w:p>
      <w:pPr>
        <w:spacing w:before="280" w:after="120" w:line="276" w:lineRule="auto"/>
      </w:pPr>
      <w:r>
        <w:rPr>
          <w:rFonts w:ascii="Calibri" w:hAnsi="Calibri"/>
          <w:b/>
          <w:color w:val="2E74B5"/>
          <w:sz w:val="30"/>
        </w:rPr>
        <w:t>4. Supported input modes</w:t>
      </w:r>
    </w:p>
    <w:p>
      <w:pPr>
        <w:spacing w:before="200" w:after="80" w:line="276" w:lineRule="auto"/>
      </w:pPr>
      <w:r>
        <w:rPr>
          <w:rFonts w:ascii="Calibri" w:hAnsi="Calibri"/>
          <w:b/>
          <w:color w:val="2E74B5"/>
          <w:sz w:val="25"/>
        </w:rPr>
        <w:t>4.1 Manual upload</w:t>
      </w:r>
    </w:p>
    <w:p>
      <w:pPr>
        <w:spacing w:before="0" w:after="120" w:line="276" w:lineRule="auto"/>
      </w:pPr>
      <w:r>
        <w:rPr>
          <w:rFonts w:ascii="Calibri" w:hAnsi="Calibri"/>
          <w:b w:val="0"/>
          <w:sz w:val="22"/>
        </w:rPr>
        <w:t>Use this for .m4a files, .mp3 files, smartphone exports, and dictaphone exports.</w:t>
      </w:r>
    </w:p>
    <w:p>
      <w:pPr>
        <w:spacing w:before="200" w:after="80" w:line="276" w:lineRule="auto"/>
      </w:pPr>
      <w:r>
        <w:rPr>
          <w:rFonts w:ascii="Calibri" w:hAnsi="Calibri"/>
          <w:b/>
          <w:color w:val="2E74B5"/>
          <w:sz w:val="25"/>
        </w:rPr>
        <w:t>4.2 Google Drive</w:t>
      </w:r>
    </w:p>
    <w:p>
      <w:pPr>
        <w:spacing w:before="0" w:after="120" w:line="276" w:lineRule="auto"/>
      </w:pPr>
      <w:r>
        <w:rPr>
          <w:rFonts w:ascii="Calibri" w:hAnsi="Calibri"/>
          <w:b w:val="0"/>
          <w:sz w:val="22"/>
        </w:rPr>
        <w:t>Use this when files are uploaded into a watched folder or when a Drive link is provided in the form.</w:t>
      </w:r>
    </w:p>
    <w:p>
      <w:pPr>
        <w:spacing w:before="200" w:after="80" w:line="276" w:lineRule="auto"/>
      </w:pPr>
      <w:r>
        <w:rPr>
          <w:rFonts w:ascii="Calibri" w:hAnsi="Calibri"/>
          <w:b/>
          <w:color w:val="2E74B5"/>
          <w:sz w:val="25"/>
        </w:rPr>
        <w:t>4.3 Meeting platform webhook</w:t>
      </w:r>
    </w:p>
    <w:p>
      <w:pPr>
        <w:spacing w:before="0" w:after="120" w:line="276" w:lineRule="auto"/>
      </w:pPr>
      <w:r>
        <w:rPr>
          <w:rFonts w:ascii="Calibri" w:hAnsi="Calibri"/>
          <w:b w:val="0"/>
          <w:sz w:val="22"/>
        </w:rPr>
        <w:t>Use this when an upstream Zoom, Teams, or Webex workflow retrieves the recording and then calls the ingestion webhook of workflow 128.</w:t>
      </w:r>
    </w:p>
    <w:p>
      <w:pPr>
        <w:spacing w:before="280" w:after="120" w:line="276" w:lineRule="auto"/>
      </w:pPr>
      <w:r>
        <w:rPr>
          <w:rFonts w:ascii="Calibri" w:hAnsi="Calibri"/>
          <w:b/>
          <w:color w:val="2E74B5"/>
          <w:sz w:val="30"/>
        </w:rPr>
        <w:t>5. Technical prerequisites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6408"/>
      </w:tblGrid>
      <w:tr>
        <w:tc>
          <w:tcPr>
            <w:tcW w:type="dxa" w:w="4680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0263F"/>
                <w:sz w:val="21"/>
              </w:rPr>
              <w:t>Item</w:t>
            </w:r>
          </w:p>
        </w:tc>
        <w:tc>
          <w:tcPr>
            <w:tcW w:type="dxa" w:w="4680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0263F"/>
                <w:sz w:val="21"/>
              </w:rPr>
              <w:t>Configuration</w:t>
            </w:r>
          </w:p>
        </w:tc>
      </w:tr>
      <w:tr>
        <w:tc>
          <w:tcPr>
            <w:tcW w:type="dxa" w:w="295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sz w:val="21"/>
              </w:rPr>
              <w:t>OpenAI key</w:t>
            </w:r>
          </w:p>
        </w:tc>
        <w:tc>
          <w:tcPr>
            <w:tcW w:type="dxa" w:w="6408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sz w:val="21"/>
              </w:rPr>
              <w:t>Environment variable OPENAI_API_KEY</w:t>
            </w:r>
          </w:p>
        </w:tc>
      </w:tr>
      <w:tr>
        <w:tc>
          <w:tcPr>
            <w:tcW w:type="dxa" w:w="295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sz w:val="21"/>
              </w:rPr>
              <w:t>Resend key</w:t>
            </w:r>
          </w:p>
        </w:tc>
        <w:tc>
          <w:tcPr>
            <w:tcW w:type="dxa" w:w="6408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sz w:val="21"/>
              </w:rPr>
              <w:t>Environment variable RESEND_API_KEY</w:t>
            </w:r>
          </w:p>
        </w:tc>
      </w:tr>
      <w:tr>
        <w:tc>
          <w:tcPr>
            <w:tcW w:type="dxa" w:w="295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sz w:val="21"/>
              </w:rPr>
              <w:t>Report model</w:t>
            </w:r>
          </w:p>
        </w:tc>
        <w:tc>
          <w:tcPr>
            <w:tcW w:type="dxa" w:w="6408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sz w:val="21"/>
              </w:rPr>
              <w:t>gpt-5 recommended; otherwise gpt-4.1 or gpt-4o</w:t>
            </w:r>
          </w:p>
        </w:tc>
      </w:tr>
      <w:tr>
        <w:tc>
          <w:tcPr>
            <w:tcW w:type="dxa" w:w="295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sz w:val="21"/>
              </w:rPr>
              <w:t>Google Drive</w:t>
            </w:r>
          </w:p>
        </w:tc>
        <w:tc>
          <w:tcPr>
            <w:tcW w:type="dxa" w:w="6408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sz w:val="21"/>
              </w:rPr>
              <w:t>Active OAuth credential for reading and archiving</w:t>
            </w:r>
          </w:p>
        </w:tc>
      </w:tr>
      <w:tr>
        <w:tc>
          <w:tcPr>
            <w:tcW w:type="dxa" w:w="295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sz w:val="21"/>
              </w:rPr>
              <w:t>Audio splitting</w:t>
            </w:r>
          </w:p>
        </w:tc>
        <w:tc>
          <w:tcPr>
            <w:tcW w:type="dxa" w:w="6408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sz w:val="21"/>
              </w:rPr>
              <w:t>Service available at http://n8n-pxlk-audio-splitter-1:8000/split</w:t>
            </w:r>
          </w:p>
        </w:tc>
      </w:tr>
      <w:tr>
        <w:tc>
          <w:tcPr>
            <w:tcW w:type="dxa" w:w="295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sz w:val="21"/>
              </w:rPr>
              <w:t>Webhook domain</w:t>
            </w:r>
          </w:p>
        </w:tc>
        <w:tc>
          <w:tcPr>
            <w:tcW w:type="dxa" w:w="6408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sz w:val="21"/>
              </w:rPr>
              <w:t>https://n8n-pxlk.srv1480638.hstgr.cloud/webhook</w:t>
            </w:r>
          </w:p>
        </w:tc>
      </w:tr>
    </w:tbl>
    <w:p/>
    <w:p>
      <w:pPr>
        <w:spacing w:before="280" w:after="120" w:line="276" w:lineRule="auto"/>
      </w:pPr>
      <w:r>
        <w:rPr>
          <w:rFonts w:ascii="Calibri" w:hAnsi="Calibri"/>
          <w:b/>
          <w:color w:val="2E74B5"/>
          <w:sz w:val="30"/>
        </w:rPr>
        <w:t>6. Step-by-step configuration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6408"/>
      </w:tblGrid>
      <w:tr>
        <w:tc>
          <w:tcPr>
            <w:tcW w:type="dxa" w:w="4680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0263F"/>
                <w:sz w:val="21"/>
              </w:rPr>
              <w:t>Item</w:t>
            </w:r>
          </w:p>
        </w:tc>
        <w:tc>
          <w:tcPr>
            <w:tcW w:type="dxa" w:w="4680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0263F"/>
                <w:sz w:val="21"/>
              </w:rPr>
              <w:t>Configuration</w:t>
            </w:r>
          </w:p>
        </w:tc>
      </w:tr>
      <w:tr>
        <w:tc>
          <w:tcPr>
            <w:tcW w:type="dxa" w:w="295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sz w:val="21"/>
              </w:rPr>
              <w:t>Step 1 - Import the workflow</w:t>
            </w:r>
          </w:p>
        </w:tc>
        <w:tc>
          <w:tcPr>
            <w:tcW w:type="dxa" w:w="6408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sz w:val="21"/>
              </w:rPr>
              <w:t>In n8n, open Workflows, choose Import from file, then select the JSON file for workflow 128.</w:t>
            </w:r>
          </w:p>
        </w:tc>
      </w:tr>
      <w:tr>
        <w:tc>
          <w:tcPr>
            <w:tcW w:type="dxa" w:w="295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sz w:val="21"/>
              </w:rPr>
              <w:t>Step 2 - Check the entry points</w:t>
            </w:r>
          </w:p>
        </w:tc>
        <w:tc>
          <w:tcPr>
            <w:tcW w:type="dxa" w:w="6408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sz w:val="21"/>
              </w:rPr>
              <w:t>Review the nodes Formulaire - Audio sensible, Google Drive - Nouveau fichier audio, and Webhook - Ingestion plateforme meeting.</w:t>
            </w:r>
          </w:p>
        </w:tc>
      </w:tr>
      <w:tr>
        <w:tc>
          <w:tcPr>
            <w:tcW w:type="dxa" w:w="295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sz w:val="21"/>
              </w:rPr>
              <w:t>Step 3 - Configure the form</w:t>
            </w:r>
          </w:p>
        </w:tc>
        <w:tc>
          <w:tcPr>
            <w:tcW w:type="dxa" w:w="6408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sz w:val="21"/>
              </w:rPr>
              <w:t>Fill in the fields for subject, participants, date, recording source, ingestion mode, final recipient, validator, audio language, output language, requested deliverable, sensitive entities to mask, and masking level.</w:t>
            </w:r>
          </w:p>
        </w:tc>
      </w:tr>
      <w:tr>
        <w:tc>
          <w:tcPr>
            <w:tcW w:type="dxa" w:w="295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sz w:val="21"/>
              </w:rPr>
              <w:t>Step 4 - Configure the source folder</w:t>
            </w:r>
          </w:p>
        </w:tc>
        <w:tc>
          <w:tcPr>
            <w:tcW w:type="dxa" w:w="6408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sz w:val="21"/>
              </w:rPr>
              <w:t>Check the watched folder ID in the node Google Drive - Nouveau fichier audio.</w:t>
            </w:r>
          </w:p>
        </w:tc>
      </w:tr>
      <w:tr>
        <w:tc>
          <w:tcPr>
            <w:tcW w:type="dxa" w:w="295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sz w:val="21"/>
              </w:rPr>
              <w:t>Step 5 - Configure the archive folder</w:t>
            </w:r>
          </w:p>
        </w:tc>
        <w:tc>
          <w:tcPr>
            <w:tcW w:type="dxa" w:w="6408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sz w:val="21"/>
              </w:rPr>
              <w:t>Check the archive folder ID in the node Archiver version sanitisee.</w:t>
            </w:r>
          </w:p>
        </w:tc>
      </w:tr>
      <w:tr>
        <w:tc>
          <w:tcPr>
            <w:tcW w:type="dxa" w:w="295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sz w:val="21"/>
              </w:rPr>
              <w:t>Step 6 - Configure Resend</w:t>
            </w:r>
          </w:p>
        </w:tc>
        <w:tc>
          <w:tcPr>
            <w:tcW w:type="dxa" w:w="6408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sz w:val="21"/>
              </w:rPr>
              <w:t>Validate the nodes Envoyer au validateur and Envoyer livrable final sanitise, as well as the authorized sender address.</w:t>
            </w:r>
          </w:p>
        </w:tc>
      </w:tr>
      <w:tr>
        <w:tc>
          <w:tcPr>
            <w:tcW w:type="dxa" w:w="295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sz w:val="21"/>
              </w:rPr>
              <w:t>Step 7 - Configure OpenAI</w:t>
            </w:r>
          </w:p>
        </w:tc>
        <w:tc>
          <w:tcPr>
            <w:tcW w:type="dxa" w:w="6408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sz w:val="21"/>
              </w:rPr>
              <w:t>Check the nodes OpenAI - Transcrire segment and OpenAI - Rapport structure sanitise.</w:t>
            </w:r>
          </w:p>
        </w:tc>
      </w:tr>
      <w:tr>
        <w:tc>
          <w:tcPr>
            <w:tcW w:type="dxa" w:w="295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sz w:val="21"/>
              </w:rPr>
              <w:t>Step 8 - Verify the validation webhooks</w:t>
            </w:r>
          </w:p>
        </w:tc>
        <w:tc>
          <w:tcPr>
            <w:tcW w:type="dxa" w:w="6408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sz w:val="21"/>
              </w:rPr>
              <w:t>Review the nodes Webhook - Approuver and Webhook - Rejeter, together with the production domain.</w:t>
            </w:r>
          </w:p>
        </w:tc>
      </w:tr>
      <w:tr>
        <w:tc>
          <w:tcPr>
            <w:tcW w:type="dxa" w:w="295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sz w:val="21"/>
              </w:rPr>
              <w:t>Step 9 - Run a pilot test</w:t>
            </w:r>
          </w:p>
        </w:tc>
        <w:tc>
          <w:tcPr>
            <w:tcW w:type="dxa" w:w="6408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sz w:val="21"/>
              </w:rPr>
              <w:t>Test with a short recording, approve the deliverable, then verify the HTML archive and target-language consistency.</w:t>
            </w:r>
          </w:p>
        </w:tc>
      </w:tr>
    </w:tbl>
    <w:p/>
    <w:p>
      <w:pPr>
        <w:spacing w:before="280" w:after="120" w:line="276" w:lineRule="auto"/>
      </w:pPr>
      <w:r>
        <w:rPr>
          <w:rFonts w:ascii="Calibri" w:hAnsi="Calibri"/>
          <w:b/>
          <w:color w:val="2E74B5"/>
          <w:sz w:val="30"/>
        </w:rPr>
        <w:t>7. Recommended settings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sz w:val="22"/>
        </w:rPr>
        <w:t>Requested deliverable: Both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sz w:val="22"/>
        </w:rPr>
        <w:t>Masking level: Strict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sz w:val="22"/>
        </w:rPr>
        <w:t>Output languages: French, English, Spanish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sz w:val="22"/>
        </w:rPr>
        <w:t>Source folder: Recordings - International Meetings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sz w:val="22"/>
        </w:rPr>
        <w:t>Archive folder: Sanitized Archives - International Meetings</w:t>
      </w:r>
    </w:p>
    <w:p>
      <w:pPr>
        <w:spacing w:before="280" w:after="120" w:line="276" w:lineRule="auto"/>
      </w:pPr>
      <w:r>
        <w:rPr>
          <w:rFonts w:ascii="Calibri" w:hAnsi="Calibri"/>
          <w:b/>
          <w:color w:val="2E74B5"/>
          <w:sz w:val="30"/>
        </w:rPr>
        <w:t>8. Meeting source configuration</w:t>
      </w:r>
    </w:p>
    <w:p>
      <w:pPr>
        <w:spacing w:before="200" w:after="80" w:line="276" w:lineRule="auto"/>
      </w:pPr>
      <w:r>
        <w:rPr>
          <w:rFonts w:ascii="Calibri" w:hAnsi="Calibri"/>
          <w:b/>
          <w:color w:val="2E74B5"/>
          <w:sz w:val="25"/>
        </w:rPr>
        <w:t>8.1 Dictaphone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sz w:val="22"/>
        </w:rPr>
        <w:t>Simple mode: export the file and upload it through the form.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sz w:val="22"/>
        </w:rPr>
        <w:t>Semi-automated mode: sync the files to a watched Google Drive folder.</w:t>
      </w:r>
    </w:p>
    <w:p>
      <w:pPr>
        <w:spacing w:before="200" w:after="80" w:line="276" w:lineRule="auto"/>
      </w:pPr>
      <w:r>
        <w:rPr>
          <w:rFonts w:ascii="Calibri" w:hAnsi="Calibri"/>
          <w:b/>
          <w:color w:val="2E74B5"/>
          <w:sz w:val="25"/>
        </w:rPr>
        <w:t>8.2 Zoom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sz w:val="22"/>
        </w:rPr>
        <w:t>Enable Cloud Recording in Zoom.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sz w:val="22"/>
        </w:rPr>
        <w:t>Use an upstream workflow that receives the recording.completed event.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sz w:val="22"/>
        </w:rPr>
        <w:t>Download the recording, then call the cr-intl-source-ingest webhook.</w:t>
      </w:r>
    </w:p>
    <w:p>
      <w:pPr>
        <w:spacing w:before="200" w:after="80" w:line="276" w:lineRule="auto"/>
      </w:pPr>
      <w:r>
        <w:rPr>
          <w:rFonts w:ascii="Calibri" w:hAnsi="Calibri"/>
          <w:b/>
          <w:color w:val="2E74B5"/>
          <w:sz w:val="25"/>
        </w:rPr>
        <w:t>8.3 Microsoft Teams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sz w:val="22"/>
        </w:rPr>
        <w:t>Retrieve recordings from OneDrive or SharePoint.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sz w:val="22"/>
        </w:rPr>
        <w:t>Use Microsoft Graph or an upstream collection workflow.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sz w:val="22"/>
        </w:rPr>
        <w:t>Then pass the binary file or the metadata to workflow 128.</w:t>
      </w:r>
    </w:p>
    <w:p>
      <w:pPr>
        <w:spacing w:before="200" w:after="80" w:line="276" w:lineRule="auto"/>
      </w:pPr>
      <w:r>
        <w:rPr>
          <w:rFonts w:ascii="Calibri" w:hAnsi="Calibri"/>
          <w:b/>
          <w:color w:val="2E74B5"/>
          <w:sz w:val="25"/>
        </w:rPr>
        <w:t>8.4 Webex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sz w:val="22"/>
        </w:rPr>
        <w:t>Enable Webex recordings.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sz w:val="22"/>
        </w:rPr>
        <w:t>Use the Recordings API to retrieve the file.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sz w:val="22"/>
        </w:rPr>
        <w:t>Forward the recording to the ingestion webhook of workflow 128.</w:t>
      </w:r>
    </w:p>
    <w:p>
      <w:pPr>
        <w:spacing w:before="280" w:after="120" w:line="276" w:lineRule="auto"/>
      </w:pPr>
      <w:r>
        <w:rPr>
          <w:rFonts w:ascii="Calibri" w:hAnsi="Calibri"/>
          <w:b/>
          <w:color w:val="2E74B5"/>
          <w:sz w:val="30"/>
        </w:rPr>
        <w:t>9. Expected ingestion webhook structure</w:t>
      </w:r>
    </w:p>
    <w:p>
      <w:pPr>
        <w:spacing w:before="0" w:after="120" w:line="276" w:lineRule="auto"/>
      </w:pPr>
      <w:r>
        <w:rPr>
          <w:rFonts w:ascii="Calibri" w:hAnsi="Calibri"/>
          <w:b w:val="0"/>
          <w:sz w:val="22"/>
        </w:rPr>
        <w:t>The cr-intl-source-ingest webhook should ideally receive: source_system, source_label, meeting_title, meeting_date, participants, recipient email, validator email, language, output language, masking level, meeting reference, source object, and recording_url. When possible, send the audio binary directly.</w:t>
      </w:r>
    </w:p>
    <w:p>
      <w:pPr>
        <w:spacing w:before="280" w:after="120" w:line="276" w:lineRule="auto"/>
      </w:pPr>
      <w:r>
        <w:rPr>
          <w:rFonts w:ascii="Calibri" w:hAnsi="Calibri"/>
          <w:b/>
          <w:color w:val="2E74B5"/>
          <w:sz w:val="30"/>
        </w:rPr>
        <w:t>10. Go-live checklist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sz w:val="22"/>
        </w:rPr>
        <w:t>The workflow imports without error.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sz w:val="22"/>
        </w:rPr>
        <w:t>Google Drive is connected.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sz w:val="22"/>
        </w:rPr>
        <w:t>Resend is connected.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sz w:val="22"/>
        </w:rPr>
        <w:t>OpenAI is connected.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sz w:val="22"/>
        </w:rPr>
        <w:t>The audio splitting service responds.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sz w:val="22"/>
        </w:rPr>
        <w:t>The validator receives the preview.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sz w:val="22"/>
        </w:rPr>
        <w:t>The HTML archive is created.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sz w:val="22"/>
        </w:rPr>
        <w:t>No re-identified version is sent to the client.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sz w:val="22"/>
        </w:rPr>
        <w:t>Deliverables are fully generated in the selected target language.</w:t>
      </w:r>
    </w:p>
    <w:p>
      <w:pPr>
        <w:spacing w:before="280" w:after="120" w:line="276" w:lineRule="auto"/>
      </w:pPr>
      <w:r>
        <w:rPr>
          <w:rFonts w:ascii="Calibri" w:hAnsi="Calibri"/>
          <w:b/>
          <w:color w:val="2E74B5"/>
          <w:sz w:val="30"/>
        </w:rPr>
        <w:t>11. Current limitations and final recommendation</w:t>
      </w:r>
    </w:p>
    <w:p>
      <w:pPr>
        <w:spacing w:before="0" w:after="120" w:line="276" w:lineRule="auto"/>
      </w:pPr>
      <w:r>
        <w:rPr>
          <w:rFonts w:ascii="Calibri" w:hAnsi="Calibri"/>
          <w:b w:val="0"/>
          <w:sz w:val="22"/>
        </w:rPr>
        <w:t>Workflow 128 is a core processing engine. It does not yet handle on its own native Zoom, Webex, or Microsoft Graph authentication, nor automatic download from each source platform.</w:t>
      </w:r>
    </w:p>
    <w:p>
      <w:pPr>
        <w:spacing w:before="0" w:after="120" w:line="276" w:lineRule="auto"/>
      </w:pPr>
      <w:r>
        <w:rPr>
          <w:rFonts w:ascii="Calibri" w:hAnsi="Calibri"/>
          <w:b w:val="0"/>
          <w:sz w:val="22"/>
        </w:rPr>
        <w:t>For progressive deployment, the recommended starting point is manual upload + Google Drive, then dedicated ingestion workflows for Zoom, Teams, and Webex.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alibri" w:hAnsi="Calibri"/>
        <w:b w:val="0"/>
        <w:color w:val="777777"/>
        <w:sz w:val="18"/>
      </w:rPr>
      <w:t>Workflow 128 User Guide - TransferAI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Calibri" w:hAnsi="Calibri"/>
        <w:b/>
        <w:color w:val="777777"/>
        <w:sz w:val="18"/>
      </w:rPr>
      <w:t>TransferAI - Sensitive meeting report workflow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