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0263F"/>
          <w:sz w:val="34"/>
          <w:szCs w:val="34"/>
        </w:rPr>
        <w:t xml:space="preserve">TransferAI Africa</w:t>
      </w:r>
    </w:p>
    <w:p>
      <w:pPr>
        <w:spacing w:after="200"/>
      </w:pPr>
      <w:r>
        <w:rPr>
          <w:rFonts w:ascii="Arial" w:cs="Arial" w:eastAsia="Arial" w:hAnsi="Arial"/>
          <w:i/>
          <w:iCs/>
          <w:color w:val="555555"/>
          <w:sz w:val="20"/>
          <w:szCs w:val="20"/>
        </w:rPr>
        <w:t xml:space="preserve">Hub IA de NettelecomCI en Côte d'Ivoire</w:t>
      </w:r>
    </w:p>
    <w:p>
      <w:pPr>
        <w:spacing w:after="60"/>
      </w:pPr>
      <w:r>
        <w:rPr>
          <w:rFonts w:ascii="Arial" w:cs="Arial" w:eastAsia="Arial" w:hAnsi="Arial"/>
          <w:b/>
          <w:bCs/>
          <w:color w:val="10263F"/>
          <w:sz w:val="30"/>
          <w:szCs w:val="30"/>
        </w:rPr>
        <w:t xml:space="preserve">NOTRE ÉCOSYSTÈME TECHNOLOGIQUE</w:t>
      </w:r>
    </w:p>
    <w:p>
      <w:pPr>
        <w:spacing w:after="160"/>
      </w:pPr>
      <w:r>
        <w:rPr>
          <w:rFonts w:ascii="Arial" w:cs="Arial" w:eastAsia="Arial" w:hAnsi="Arial"/>
          <w:i/>
          <w:iCs/>
          <w:color w:val="333333"/>
          <w:sz w:val="21"/>
          <w:szCs w:val="21"/>
        </w:rPr>
        <w:t xml:space="preserve">Les outils et technologies de pointe qui font tourner notre hub IA au quotidien</w:t>
      </w:r>
    </w:p>
    <w:p>
      <w:pPr>
        <w:spacing w:after="220"/>
      </w:pPr>
      <w:r>
        <w:rPr>
          <w:rFonts w:ascii="Arial" w:cs="Arial" w:eastAsia="Arial" w:hAnsi="Arial"/>
          <w:color w:val="222222"/>
          <w:sz w:val="21"/>
          <w:szCs w:val="21"/>
        </w:rPr>
        <w:t xml:space="preserve">Beaucoup d'acteurs annoncent de l'intelligence artificielle. Peu s'appuient sur un écosystème technologique réellement intégré, éprouvé et à la pointe du marché. Voici les technologies concrètes qui font tourner notre hub IA au quotidien.</w:t>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680"/>
        <w:gridCol w:w="8346"/>
      </w:tblGrid>
      <w:tr>
        <w:tc>
          <w:tcPr>
            <w:tcW w:type="dxa" w:w="680"/>
            <w:tcBorders>
              <w:top w:val="single" w:color="FFFFFF" w:sz="0"/>
              <w:left w:val="single" w:color="FFFFFF" w:sz="0"/>
              <w:bottom w:val="single" w:color="FFFFFF" w:sz="0"/>
              <w:right w:val="single" w:color="FFFFFF" w:sz="0"/>
            </w:tcBorders>
            <w:shd w:fill="10263F" w:val="clear"/>
            <w:tcMar>
              <w:top w:type="dxa" w:w="140"/>
              <w:left w:type="dxa" w:w="80"/>
              <w:bottom w:type="dxa" w:w="0"/>
              <w:right w:type="dxa" w:w="80"/>
            </w:tcMar>
            <w:vAlign w:val="center"/>
          </w:tcPr>
          <w:p>
            <w:pPr>
              <w:jc w:val="center"/>
            </w:pPr>
            <w:r>
              <w:rPr>
                <w:rFonts w:ascii="Arial" w:cs="Arial" w:eastAsia="Arial" w:hAnsi="Arial"/>
                <w:b/>
                <w:bCs/>
                <w:color w:val="FFFFFF"/>
                <w:sz w:val="40"/>
                <w:szCs w:val="40"/>
              </w:rPr>
              <w:t xml:space="preserve">1</w:t>
            </w:r>
          </w:p>
          <w:p>
            <w:pPr>
              <w:spacing w:before="20"/>
              <w:jc w:val="center"/>
            </w:pPr>
            <w:r>
              <w:rPr>
                <w:rFonts w:ascii="Arial" w:cs="Arial" w:eastAsia="Arial" w:hAnsi="Arial"/>
                <w:sz w:val="24"/>
                <w:szCs w:val="24"/>
              </w:rPr>
              <w:t xml:space="preserve">🧠</w:t>
            </w:r>
          </w:p>
        </w:tc>
        <w:tc>
          <w:tcPr>
            <w:tcW w:type="dxa" w:w="8346"/>
            <w:tcBorders>
              <w:top w:val="single" w:color="FFFFFF" w:sz="0"/>
              <w:left w:val="single" w:color="FFFFFF" w:sz="0"/>
              <w:bottom w:val="single" w:color="CCCCCC" w:sz="1"/>
              <w:right w:val="single" w:color="FFFFFF" w:sz="0"/>
            </w:tcBorders>
            <w:shd w:fill="10263F" w:val="clear"/>
            <w:tcMar>
              <w:top w:type="dxa" w:w="120"/>
              <w:left w:type="dxa" w:w="220"/>
              <w:bottom w:type="dxa" w:w="80"/>
              <w:right w:type="dxa" w:w="160"/>
            </w:tcMar>
          </w:tcPr>
          <w:p>
            <w:pPr>
              <w:spacing w:after="0"/>
            </w:pPr>
            <w:r>
              <w:rPr>
                <w:rFonts w:ascii="Arial" w:cs="Arial" w:eastAsia="Arial" w:hAnsi="Arial"/>
                <w:b/>
                <w:bCs/>
                <w:color w:val="FFFFFF"/>
                <w:sz w:val="24"/>
                <w:szCs w:val="24"/>
              </w:rPr>
              <w:t xml:space="preserve">Une mémoire documentaire vivante (RAG), pas un chatbot générique</w:t>
            </w:r>
          </w:p>
        </w:tc>
      </w:tr>
      <w:tr>
        <w:tc>
          <w:tcPr>
            <w:tcW w:type="dxa" w:w="680"/>
            <w:tcBorders>
              <w:top w:val="single" w:color="FFFFFF" w:sz="0"/>
              <w:left w:val="single" w:color="FFFFFF" w:sz="0"/>
              <w:bottom w:val="single" w:color="FFFFFF" w:sz="0"/>
              <w:right w:val="single" w:color="FFFFFF" w:sz="0"/>
            </w:tcBorders>
          </w:tcPr>
          <w:p>
            <w:r>
              <w:rPr>
                <w:rFonts w:ascii="Arial" w:cs="Arial" w:eastAsia="Arial" w:hAnsi="Arial"/>
              </w:rPr>
              <w:t xml:space="preserve"/>
            </w:r>
          </w:p>
        </w:tc>
        <w:tc>
          <w:tcPr>
            <w:tcW w:type="dxa" w:w="8346"/>
            <w:tcBorders>
              <w:top w:val="single" w:color="FFFFFF" w:sz="0"/>
              <w:left w:val="single" w:color="10263F" w:sz="20"/>
              <w:bottom w:val="single" w:color="FFFFFF" w:sz="0"/>
              <w:right w:val="single" w:color="FFFFFF" w:sz="0"/>
            </w:tcBorders>
            <w:shd w:fill="D6E4F0" w:val="clear"/>
            <w:tcMar>
              <w:top w:type="dxa" w:w="140"/>
              <w:left w:type="dxa" w:w="220"/>
              <w:bottom w:type="dxa" w:w="100"/>
              <w:right w:type="dxa" w:w="160"/>
            </w:tcMar>
          </w:tcPr>
          <w:p>
            <w:pPr>
              <w:spacing w:after="120"/>
            </w:pPr>
            <w:r>
              <w:rPr>
                <w:rFonts w:ascii="Arial" w:cs="Arial" w:eastAsia="Arial" w:hAnsi="Arial"/>
                <w:color w:val="222222"/>
                <w:sz w:val="21"/>
                <w:szCs w:val="21"/>
              </w:rPr>
              <w:t xml:space="preserve">Nos réponses s'appuient sur une base de connaissance interne indexée et mise à jour en continu, interrogée par recherche sémantique (technologie RAG — Retrieval-Augmented Generation — combinée à GPT-4o d'OpenAI), et non sur les seules connaissances générales d'un modèle de langage.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tblGrid>
            <w:tr>
              <w:tc>
                <w:tcPr>
                  <w:tcW w:type="dxa" w:w="380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Autres organismes</w:t>
                  </w:r>
                </w:p>
              </w:tc>
              <w:tc>
                <w:tcPr>
                  <w:tcW w:type="dxa" w:w="4200"/>
                  <w:tcBorders>
                    <w:top w:val="single" w:color="CCCCCC" w:sz="1"/>
                    <w:left w:val="single" w:color="CCCCCC" w:sz="1"/>
                    <w:bottom w:val="single" w:color="CCCCCC" w:sz="1"/>
                    <w:right w:val="single" w:color="CCCCCC" w:sz="1"/>
                  </w:tcBorders>
                  <w:shd w:fill="0D7D6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TransferAI Africa</w:t>
                  </w:r>
                </w:p>
              </w:tc>
            </w:tr>
            <w:tr>
              <w:tc>
                <w:tcPr>
                  <w:tcW w:type="dxa" w:w="38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80"/>
                  </w:tcMar>
                </w:tcPr>
                <w:p>
                  <w:r>
                    <w:rPr>
                      <w:rFonts w:ascii="Arial" w:cs="Arial" w:eastAsia="Arial" w:hAnsi="Arial"/>
                      <w:color w:val="C0392B"/>
                      <w:sz w:val="19"/>
                      <w:szCs w:val="19"/>
                    </w:rPr>
                    <w:t xml:space="preserve">✗  Un chatbot générique branché sur un modèle standard, sans mémoire propre à votre organisation ni mise à jour de son contenu.</w:t>
                  </w:r>
                </w:p>
              </w:tc>
              <w:tc>
                <w:tcPr>
                  <w:tcW w:type="dxa" w:w="4200"/>
                  <w:tcBorders>
                    <w:top w:val="single" w:color="CCCCCC" w:sz="1"/>
                    <w:left w:val="single" w:color="CCCCCC" w:sz="1"/>
                    <w:bottom w:val="single" w:color="CCCCCC" w:sz="1"/>
                    <w:right w:val="single" w:color="CCCCCC" w:sz="1"/>
                  </w:tcBorders>
                  <w:shd w:fill="D5F0EC" w:val="clear"/>
                  <w:tcMar>
                    <w:top w:type="dxa" w:w="80"/>
                    <w:left w:type="dxa" w:w="120"/>
                    <w:bottom w:type="dxa" w:w="80"/>
                    <w:right w:type="dxa" w:w="80"/>
                  </w:tcMar>
                </w:tcPr>
                <w:p>
                  <w:r>
                    <w:rPr>
                      <w:rFonts w:ascii="Arial" w:cs="Arial" w:eastAsia="Arial" w:hAnsi="Arial"/>
                      <w:b/>
                      <w:bCs/>
                      <w:color w:val="004433"/>
                      <w:sz w:val="19"/>
                      <w:szCs w:val="19"/>
                    </w:rPr>
                    <w:t xml:space="preserve">✓  Un moteur de recherche augmentée (RAG) propriétaire, alimenté et actualisé automatiquement, qui ancre chaque réponse dans une documentation réelle et vivante.</w:t>
                  </w:r>
                </w:p>
              </w:tc>
            </w:tr>
          </w:tbl>
          <w:p>
            <w:r>
              <w:rPr>
                <w:rFonts w:ascii="Arial" w:cs="Arial" w:eastAsia="Arial" w:hAnsi="Arial"/>
              </w:rPr>
              <w:t xml:space="preserve"/>
            </w:r>
          </w:p>
        </w:tc>
      </w:tr>
    </w:tbl>
    <w:p>
      <w:pPr>
        <w:spacing w:after="160"/>
      </w:pPr>
      <w:r>
        <w:rPr>
          <w:rFonts w:ascii="Arial" w:cs="Arial" w:eastAsia="Arial" w:hAnsi="Arial"/>
        </w:rPr>
        <w:t xml:space="preserve"/>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680"/>
        <w:gridCol w:w="8346"/>
      </w:tblGrid>
      <w:tr>
        <w:tc>
          <w:tcPr>
            <w:tcW w:type="dxa" w:w="680"/>
            <w:tcBorders>
              <w:top w:val="single" w:color="FFFFFF" w:sz="0"/>
              <w:left w:val="single" w:color="FFFFFF" w:sz="0"/>
              <w:bottom w:val="single" w:color="FFFFFF" w:sz="0"/>
              <w:right w:val="single" w:color="FFFFFF" w:sz="0"/>
            </w:tcBorders>
            <w:shd w:fill="E8920A" w:val="clear"/>
            <w:tcMar>
              <w:top w:type="dxa" w:w="140"/>
              <w:left w:type="dxa" w:w="80"/>
              <w:bottom w:type="dxa" w:w="0"/>
              <w:right w:type="dxa" w:w="80"/>
            </w:tcMar>
            <w:vAlign w:val="center"/>
          </w:tcPr>
          <w:p>
            <w:pPr>
              <w:jc w:val="center"/>
            </w:pPr>
            <w:r>
              <w:rPr>
                <w:rFonts w:ascii="Arial" w:cs="Arial" w:eastAsia="Arial" w:hAnsi="Arial"/>
                <w:b/>
                <w:bCs/>
                <w:color w:val="FFFFFF"/>
                <w:sz w:val="40"/>
                <w:szCs w:val="40"/>
              </w:rPr>
              <w:t xml:space="preserve">2</w:t>
            </w:r>
          </w:p>
          <w:p>
            <w:pPr>
              <w:spacing w:before="20"/>
              <w:jc w:val="center"/>
            </w:pPr>
            <w:r>
              <w:rPr>
                <w:rFonts w:ascii="Arial" w:cs="Arial" w:eastAsia="Arial" w:hAnsi="Arial"/>
                <w:sz w:val="24"/>
                <w:szCs w:val="24"/>
              </w:rPr>
              <w:t xml:space="preserve">⚙</w:t>
            </w:r>
          </w:p>
        </w:tc>
        <w:tc>
          <w:tcPr>
            <w:tcW w:type="dxa" w:w="8346"/>
            <w:tcBorders>
              <w:top w:val="single" w:color="FFFFFF" w:sz="0"/>
              <w:left w:val="single" w:color="FFFFFF" w:sz="0"/>
              <w:bottom w:val="single" w:color="CCCCCC" w:sz="1"/>
              <w:right w:val="single" w:color="FFFFFF" w:sz="0"/>
            </w:tcBorders>
            <w:shd w:fill="E8920A" w:val="clear"/>
            <w:tcMar>
              <w:top w:type="dxa" w:w="120"/>
              <w:left w:type="dxa" w:w="220"/>
              <w:bottom w:type="dxa" w:w="80"/>
              <w:right w:type="dxa" w:w="160"/>
            </w:tcMar>
          </w:tcPr>
          <w:p>
            <w:pPr>
              <w:spacing w:after="0"/>
            </w:pPr>
            <w:r>
              <w:rPr>
                <w:rFonts w:ascii="Arial" w:cs="Arial" w:eastAsia="Arial" w:hAnsi="Arial"/>
                <w:b/>
                <w:bCs/>
                <w:color w:val="FFFFFF"/>
                <w:sz w:val="24"/>
                <w:szCs w:val="24"/>
              </w:rPr>
              <w:t xml:space="preserve">Une orchestration d'automatisation sur mesure (n8n), pas des scripts isolés</w:t>
            </w:r>
          </w:p>
        </w:tc>
      </w:tr>
      <w:tr>
        <w:tc>
          <w:tcPr>
            <w:tcW w:type="dxa" w:w="680"/>
            <w:tcBorders>
              <w:top w:val="single" w:color="FFFFFF" w:sz="0"/>
              <w:left w:val="single" w:color="FFFFFF" w:sz="0"/>
              <w:bottom w:val="single" w:color="FFFFFF" w:sz="0"/>
              <w:right w:val="single" w:color="FFFFFF" w:sz="0"/>
            </w:tcBorders>
          </w:tcPr>
          <w:p>
            <w:r>
              <w:rPr>
                <w:rFonts w:ascii="Arial" w:cs="Arial" w:eastAsia="Arial" w:hAnsi="Arial"/>
              </w:rPr>
              <w:t xml:space="preserve"/>
            </w:r>
          </w:p>
        </w:tc>
        <w:tc>
          <w:tcPr>
            <w:tcW w:type="dxa" w:w="8346"/>
            <w:tcBorders>
              <w:top w:val="single" w:color="FFFFFF" w:sz="0"/>
              <w:left w:val="single" w:color="E8920A" w:sz="20"/>
              <w:bottom w:val="single" w:color="FFFFFF" w:sz="0"/>
              <w:right w:val="single" w:color="FFFFFF" w:sz="0"/>
            </w:tcBorders>
            <w:shd w:fill="FEF3DC" w:val="clear"/>
            <w:tcMar>
              <w:top w:type="dxa" w:w="140"/>
              <w:left w:type="dxa" w:w="220"/>
              <w:bottom w:type="dxa" w:w="100"/>
              <w:right w:type="dxa" w:w="160"/>
            </w:tcMar>
          </w:tcPr>
          <w:p>
            <w:pPr>
              <w:spacing w:after="120"/>
            </w:pPr>
            <w:r>
              <w:rPr>
                <w:rFonts w:ascii="Arial" w:cs="Arial" w:eastAsia="Arial" w:hAnsi="Arial"/>
                <w:color w:val="222222"/>
                <w:sz w:val="21"/>
                <w:szCs w:val="21"/>
              </w:rPr>
              <w:t xml:space="preserve">Une douzaine de flux d'automatisation interconnectés pilotent la prospection, la qualification, la relance et la notification des experts, en faisant communiquer entre eux CRM, formulaires, emails et messagerie sans intervention manuelle.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tblGrid>
            <w:tr>
              <w:tc>
                <w:tcPr>
                  <w:tcW w:type="dxa" w:w="380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Autres organismes</w:t>
                  </w:r>
                </w:p>
              </w:tc>
              <w:tc>
                <w:tcPr>
                  <w:tcW w:type="dxa" w:w="4200"/>
                  <w:tcBorders>
                    <w:top w:val="single" w:color="CCCCCC" w:sz="1"/>
                    <w:left w:val="single" w:color="CCCCCC" w:sz="1"/>
                    <w:bottom w:val="single" w:color="CCCCCC" w:sz="1"/>
                    <w:right w:val="single" w:color="CCCCCC" w:sz="1"/>
                  </w:tcBorders>
                  <w:shd w:fill="0D7D6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TransferAI Africa</w:t>
                  </w:r>
                </w:p>
              </w:tc>
            </w:tr>
            <w:tr>
              <w:tc>
                <w:tcPr>
                  <w:tcW w:type="dxa" w:w="38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80"/>
                  </w:tcMar>
                </w:tcPr>
                <w:p>
                  <w:r>
                    <w:rPr>
                      <w:rFonts w:ascii="Arial" w:cs="Arial" w:eastAsia="Arial" w:hAnsi="Arial"/>
                      <w:color w:val="C0392B"/>
                      <w:sz w:val="19"/>
                      <w:szCs w:val="19"/>
                    </w:rPr>
                    <w:t xml:space="preserve">✗  Des outils no-code cloisonnés, un par tâche, sans lien entre eux.</w:t>
                  </w:r>
                </w:p>
              </w:tc>
              <w:tc>
                <w:tcPr>
                  <w:tcW w:type="dxa" w:w="4200"/>
                  <w:tcBorders>
                    <w:top w:val="single" w:color="CCCCCC" w:sz="1"/>
                    <w:left w:val="single" w:color="CCCCCC" w:sz="1"/>
                    <w:bottom w:val="single" w:color="CCCCCC" w:sz="1"/>
                    <w:right w:val="single" w:color="CCCCCC" w:sz="1"/>
                  </w:tcBorders>
                  <w:shd w:fill="D5F0EC" w:val="clear"/>
                  <w:tcMar>
                    <w:top w:type="dxa" w:w="80"/>
                    <w:left w:type="dxa" w:w="120"/>
                    <w:bottom w:type="dxa" w:w="80"/>
                    <w:right w:type="dxa" w:w="80"/>
                  </w:tcMar>
                </w:tcPr>
                <w:p>
                  <w:r>
                    <w:rPr>
                      <w:rFonts w:ascii="Arial" w:cs="Arial" w:eastAsia="Arial" w:hAnsi="Arial"/>
                      <w:b/>
                      <w:bCs/>
                      <w:color w:val="004433"/>
                      <w:sz w:val="19"/>
                      <w:szCs w:val="19"/>
                    </w:rPr>
                    <w:t xml:space="preserve">✓  Une plateforme d'orchestration unique (n8n) qui relie l'ensemble du parcours, du premier contact à la relation client.</w:t>
                  </w:r>
                </w:p>
              </w:tc>
            </w:tr>
          </w:tbl>
          <w:p>
            <w:r>
              <w:rPr>
                <w:rFonts w:ascii="Arial" w:cs="Arial" w:eastAsia="Arial" w:hAnsi="Arial"/>
              </w:rPr>
              <w:t xml:space="preserve"/>
            </w:r>
          </w:p>
        </w:tc>
      </w:tr>
    </w:tbl>
    <w:p>
      <w:pPr>
        <w:spacing w:after="160"/>
      </w:pPr>
      <w:r>
        <w:rPr>
          <w:rFonts w:ascii="Arial" w:cs="Arial" w:eastAsia="Arial" w:hAnsi="Arial"/>
        </w:rPr>
        <w:t xml:space="preserve"/>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680"/>
        <w:gridCol w:w="8346"/>
      </w:tblGrid>
      <w:tr>
        <w:tc>
          <w:tcPr>
            <w:tcW w:type="dxa" w:w="680"/>
            <w:tcBorders>
              <w:top w:val="single" w:color="FFFFFF" w:sz="0"/>
              <w:left w:val="single" w:color="FFFFFF" w:sz="0"/>
              <w:bottom w:val="single" w:color="FFFFFF" w:sz="0"/>
              <w:right w:val="single" w:color="FFFFFF" w:sz="0"/>
            </w:tcBorders>
            <w:shd w:fill="0D7D6B" w:val="clear"/>
            <w:tcMar>
              <w:top w:type="dxa" w:w="140"/>
              <w:left w:type="dxa" w:w="80"/>
              <w:bottom w:type="dxa" w:w="0"/>
              <w:right w:type="dxa" w:w="80"/>
            </w:tcMar>
            <w:vAlign w:val="center"/>
          </w:tcPr>
          <w:p>
            <w:pPr>
              <w:jc w:val="center"/>
            </w:pPr>
            <w:r>
              <w:rPr>
                <w:rFonts w:ascii="Arial" w:cs="Arial" w:eastAsia="Arial" w:hAnsi="Arial"/>
                <w:b/>
                <w:bCs/>
                <w:color w:val="FFFFFF"/>
                <w:sz w:val="40"/>
                <w:szCs w:val="40"/>
              </w:rPr>
              <w:t xml:space="preserve">3</w:t>
            </w:r>
          </w:p>
          <w:p>
            <w:pPr>
              <w:spacing w:before="20"/>
              <w:jc w:val="center"/>
            </w:pPr>
            <w:r>
              <w:rPr>
                <w:rFonts w:ascii="Arial" w:cs="Arial" w:eastAsia="Arial" w:hAnsi="Arial"/>
                <w:sz w:val="24"/>
                <w:szCs w:val="24"/>
              </w:rPr>
              <w:t xml:space="preserve">💬</w:t>
            </w:r>
          </w:p>
        </w:tc>
        <w:tc>
          <w:tcPr>
            <w:tcW w:type="dxa" w:w="8346"/>
            <w:tcBorders>
              <w:top w:val="single" w:color="FFFFFF" w:sz="0"/>
              <w:left w:val="single" w:color="FFFFFF" w:sz="0"/>
              <w:bottom w:val="single" w:color="CCCCCC" w:sz="1"/>
              <w:right w:val="single" w:color="FFFFFF" w:sz="0"/>
            </w:tcBorders>
            <w:shd w:fill="0D7D6B" w:val="clear"/>
            <w:tcMar>
              <w:top w:type="dxa" w:w="120"/>
              <w:left w:type="dxa" w:w="220"/>
              <w:bottom w:type="dxa" w:w="80"/>
              <w:right w:type="dxa" w:w="160"/>
            </w:tcMar>
          </w:tcPr>
          <w:p>
            <w:pPr>
              <w:spacing w:after="0"/>
            </w:pPr>
            <w:r>
              <w:rPr>
                <w:rFonts w:ascii="Arial" w:cs="Arial" w:eastAsia="Arial" w:hAnsi="Arial"/>
                <w:b/>
                <w:bCs/>
                <w:color w:val="FFFFFF"/>
                <w:sz w:val="24"/>
                <w:szCs w:val="24"/>
              </w:rPr>
              <w:t xml:space="preserve">Une plateforme conversationnelle unifiée (Chatwoot + WhatsApp Business), pas un widget isolé</w:t>
            </w:r>
          </w:p>
        </w:tc>
      </w:tr>
      <w:tr>
        <w:tc>
          <w:tcPr>
            <w:tcW w:type="dxa" w:w="680"/>
            <w:tcBorders>
              <w:top w:val="single" w:color="FFFFFF" w:sz="0"/>
              <w:left w:val="single" w:color="FFFFFF" w:sz="0"/>
              <w:bottom w:val="single" w:color="FFFFFF" w:sz="0"/>
              <w:right w:val="single" w:color="FFFFFF" w:sz="0"/>
            </w:tcBorders>
          </w:tcPr>
          <w:p>
            <w:r>
              <w:rPr>
                <w:rFonts w:ascii="Arial" w:cs="Arial" w:eastAsia="Arial" w:hAnsi="Arial"/>
              </w:rPr>
              <w:t xml:space="preserve"/>
            </w:r>
          </w:p>
        </w:tc>
        <w:tc>
          <w:tcPr>
            <w:tcW w:type="dxa" w:w="8346"/>
            <w:tcBorders>
              <w:top w:val="single" w:color="FFFFFF" w:sz="0"/>
              <w:left w:val="single" w:color="0D7D6B" w:sz="20"/>
              <w:bottom w:val="single" w:color="FFFFFF" w:sz="0"/>
              <w:right w:val="single" w:color="FFFFFF" w:sz="0"/>
            </w:tcBorders>
            <w:shd w:fill="D5F0EC" w:val="clear"/>
            <w:tcMar>
              <w:top w:type="dxa" w:w="140"/>
              <w:left w:type="dxa" w:w="220"/>
              <w:bottom w:type="dxa" w:w="100"/>
              <w:right w:type="dxa" w:w="160"/>
            </w:tcMar>
          </w:tcPr>
          <w:p>
            <w:pPr>
              <w:spacing w:after="120"/>
            </w:pPr>
            <w:r>
              <w:rPr>
                <w:rFonts w:ascii="Arial" w:cs="Arial" w:eastAsia="Arial" w:hAnsi="Arial"/>
                <w:color w:val="222222"/>
                <w:sz w:val="21"/>
                <w:szCs w:val="21"/>
              </w:rPr>
              <w:t xml:space="preserve">WhatsApp, email et chat web convergent vers un seul poste de pilotage, avec bascule fluide vers un humain dès que l'intelligence artificielle atteint sa limite.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tblGrid>
            <w:tr>
              <w:tc>
                <w:tcPr>
                  <w:tcW w:type="dxa" w:w="380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Autres organismes</w:t>
                  </w:r>
                </w:p>
              </w:tc>
              <w:tc>
                <w:tcPr>
                  <w:tcW w:type="dxa" w:w="4200"/>
                  <w:tcBorders>
                    <w:top w:val="single" w:color="CCCCCC" w:sz="1"/>
                    <w:left w:val="single" w:color="CCCCCC" w:sz="1"/>
                    <w:bottom w:val="single" w:color="CCCCCC" w:sz="1"/>
                    <w:right w:val="single" w:color="CCCCCC" w:sz="1"/>
                  </w:tcBorders>
                  <w:shd w:fill="0D7D6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TransferAI Africa</w:t>
                  </w:r>
                </w:p>
              </w:tc>
            </w:tr>
            <w:tr>
              <w:tc>
                <w:tcPr>
                  <w:tcW w:type="dxa" w:w="38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80"/>
                  </w:tcMar>
                </w:tcPr>
                <w:p>
                  <w:r>
                    <w:rPr>
                      <w:rFonts w:ascii="Arial" w:cs="Arial" w:eastAsia="Arial" w:hAnsi="Arial"/>
                      <w:color w:val="C0392B"/>
                      <w:sz w:val="19"/>
                      <w:szCs w:val="19"/>
                    </w:rPr>
                    <w:t xml:space="preserve">✗  Un widget de chat isolé sur le site, déconnecté des autres canaux de contact.</w:t>
                  </w:r>
                </w:p>
              </w:tc>
              <w:tc>
                <w:tcPr>
                  <w:tcW w:type="dxa" w:w="4200"/>
                  <w:tcBorders>
                    <w:top w:val="single" w:color="CCCCCC" w:sz="1"/>
                    <w:left w:val="single" w:color="CCCCCC" w:sz="1"/>
                    <w:bottom w:val="single" w:color="CCCCCC" w:sz="1"/>
                    <w:right w:val="single" w:color="CCCCCC" w:sz="1"/>
                  </w:tcBorders>
                  <w:shd w:fill="D5F0EC" w:val="clear"/>
                  <w:tcMar>
                    <w:top w:type="dxa" w:w="80"/>
                    <w:left w:type="dxa" w:w="120"/>
                    <w:bottom w:type="dxa" w:w="80"/>
                    <w:right w:type="dxa" w:w="80"/>
                  </w:tcMar>
                </w:tcPr>
                <w:p>
                  <w:r>
                    <w:rPr>
                      <w:rFonts w:ascii="Arial" w:cs="Arial" w:eastAsia="Arial" w:hAnsi="Arial"/>
                      <w:b/>
                      <w:bCs/>
                      <w:color w:val="004433"/>
                      <w:sz w:val="19"/>
                      <w:szCs w:val="19"/>
                    </w:rPr>
                    <w:t xml:space="preserve">✓  Une plateforme conversationnelle unifiée (Chatwoot, intégration WhatsApp Business), avec escalade humaine transparente.</w:t>
                  </w:r>
                </w:p>
              </w:tc>
            </w:tr>
          </w:tbl>
          <w:p>
            <w:r>
              <w:rPr>
                <w:rFonts w:ascii="Arial" w:cs="Arial" w:eastAsia="Arial" w:hAnsi="Arial"/>
              </w:rPr>
              <w:t xml:space="preserve"/>
            </w:r>
          </w:p>
        </w:tc>
      </w:tr>
    </w:tbl>
    <w:p>
      <w:pPr>
        <w:spacing w:after="160"/>
      </w:pPr>
      <w:r>
        <w:rPr>
          <w:rFonts w:ascii="Arial" w:cs="Arial" w:eastAsia="Arial" w:hAnsi="Arial"/>
        </w:rPr>
        <w:t xml:space="preserve"/>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680"/>
        <w:gridCol w:w="8346"/>
      </w:tblGrid>
      <w:tr>
        <w:tc>
          <w:tcPr>
            <w:tcW w:type="dxa" w:w="680"/>
            <w:tcBorders>
              <w:top w:val="single" w:color="FFFFFF" w:sz="0"/>
              <w:left w:val="single" w:color="FFFFFF" w:sz="0"/>
              <w:bottom w:val="single" w:color="FFFFFF" w:sz="0"/>
              <w:right w:val="single" w:color="FFFFFF" w:sz="0"/>
            </w:tcBorders>
            <w:shd w:fill="10263F" w:val="clear"/>
            <w:tcMar>
              <w:top w:type="dxa" w:w="140"/>
              <w:left w:type="dxa" w:w="80"/>
              <w:bottom w:type="dxa" w:w="0"/>
              <w:right w:type="dxa" w:w="80"/>
            </w:tcMar>
            <w:vAlign w:val="center"/>
          </w:tcPr>
          <w:p>
            <w:pPr>
              <w:jc w:val="center"/>
            </w:pPr>
            <w:r>
              <w:rPr>
                <w:rFonts w:ascii="Arial" w:cs="Arial" w:eastAsia="Arial" w:hAnsi="Arial"/>
                <w:b/>
                <w:bCs/>
                <w:color w:val="FFFFFF"/>
                <w:sz w:val="40"/>
                <w:szCs w:val="40"/>
              </w:rPr>
              <w:t xml:space="preserve">4</w:t>
            </w:r>
          </w:p>
          <w:p>
            <w:pPr>
              <w:spacing w:before="20"/>
              <w:jc w:val="center"/>
            </w:pPr>
            <w:r>
              <w:rPr>
                <w:rFonts w:ascii="Arial" w:cs="Arial" w:eastAsia="Arial" w:hAnsi="Arial"/>
                <w:sz w:val="24"/>
                <w:szCs w:val="24"/>
              </w:rPr>
              <w:t xml:space="preserve">🎙</w:t>
            </w:r>
          </w:p>
        </w:tc>
        <w:tc>
          <w:tcPr>
            <w:tcW w:type="dxa" w:w="8346"/>
            <w:tcBorders>
              <w:top w:val="single" w:color="FFFFFF" w:sz="0"/>
              <w:left w:val="single" w:color="FFFFFF" w:sz="0"/>
              <w:bottom w:val="single" w:color="CCCCCC" w:sz="1"/>
              <w:right w:val="single" w:color="FFFFFF" w:sz="0"/>
            </w:tcBorders>
            <w:shd w:fill="10263F" w:val="clear"/>
            <w:tcMar>
              <w:top w:type="dxa" w:w="120"/>
              <w:left w:type="dxa" w:w="220"/>
              <w:bottom w:type="dxa" w:w="80"/>
              <w:right w:type="dxa" w:w="160"/>
            </w:tcMar>
          </w:tcPr>
          <w:p>
            <w:pPr>
              <w:spacing w:after="0"/>
            </w:pPr>
            <w:r>
              <w:rPr>
                <w:rFonts w:ascii="Arial" w:cs="Arial" w:eastAsia="Arial" w:hAnsi="Arial"/>
                <w:b/>
                <w:bCs/>
                <w:color w:val="FFFFFF"/>
                <w:sz w:val="24"/>
                <w:szCs w:val="24"/>
              </w:rPr>
              <w:t xml:space="preserve">Une transcription et restitution automatique des échanges (Whisper)</w:t>
            </w:r>
          </w:p>
        </w:tc>
      </w:tr>
      <w:tr>
        <w:tc>
          <w:tcPr>
            <w:tcW w:type="dxa" w:w="680"/>
            <w:tcBorders>
              <w:top w:val="single" w:color="FFFFFF" w:sz="0"/>
              <w:left w:val="single" w:color="FFFFFF" w:sz="0"/>
              <w:bottom w:val="single" w:color="FFFFFF" w:sz="0"/>
              <w:right w:val="single" w:color="FFFFFF" w:sz="0"/>
            </w:tcBorders>
          </w:tcPr>
          <w:p>
            <w:r>
              <w:rPr>
                <w:rFonts w:ascii="Arial" w:cs="Arial" w:eastAsia="Arial" w:hAnsi="Arial"/>
              </w:rPr>
              <w:t xml:space="preserve"/>
            </w:r>
          </w:p>
        </w:tc>
        <w:tc>
          <w:tcPr>
            <w:tcW w:type="dxa" w:w="8346"/>
            <w:tcBorders>
              <w:top w:val="single" w:color="FFFFFF" w:sz="0"/>
              <w:left w:val="single" w:color="10263F" w:sz="20"/>
              <w:bottom w:val="single" w:color="FFFFFF" w:sz="0"/>
              <w:right w:val="single" w:color="FFFFFF" w:sz="0"/>
            </w:tcBorders>
            <w:shd w:fill="D6E4F0" w:val="clear"/>
            <w:tcMar>
              <w:top w:type="dxa" w:w="140"/>
              <w:left w:type="dxa" w:w="220"/>
              <w:bottom w:type="dxa" w:w="100"/>
              <w:right w:type="dxa" w:w="160"/>
            </w:tcMar>
          </w:tcPr>
          <w:p>
            <w:pPr>
              <w:spacing w:after="120"/>
            </w:pPr>
            <w:r>
              <w:rPr>
                <w:rFonts w:ascii="Arial" w:cs="Arial" w:eastAsia="Arial" w:hAnsi="Arial"/>
                <w:color w:val="222222"/>
                <w:sz w:val="21"/>
                <w:szCs w:val="21"/>
              </w:rPr>
              <w:t xml:space="preserve">Réunions et appels sont transformés automatiquement en comptes rendus structurés grâce à la reconnaissance vocale de pointe (Whisper d'OpenAI) couplée à la génération de texte par IA.</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tblGrid>
            <w:tr>
              <w:tc>
                <w:tcPr>
                  <w:tcW w:type="dxa" w:w="380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Autres organismes</w:t>
                  </w:r>
                </w:p>
              </w:tc>
              <w:tc>
                <w:tcPr>
                  <w:tcW w:type="dxa" w:w="4200"/>
                  <w:tcBorders>
                    <w:top w:val="single" w:color="CCCCCC" w:sz="1"/>
                    <w:left w:val="single" w:color="CCCCCC" w:sz="1"/>
                    <w:bottom w:val="single" w:color="CCCCCC" w:sz="1"/>
                    <w:right w:val="single" w:color="CCCCCC" w:sz="1"/>
                  </w:tcBorders>
                  <w:shd w:fill="0D7D6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TransferAI Africa</w:t>
                  </w:r>
                </w:p>
              </w:tc>
            </w:tr>
            <w:tr>
              <w:tc>
                <w:tcPr>
                  <w:tcW w:type="dxa" w:w="38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80"/>
                  </w:tcMar>
                </w:tcPr>
                <w:p>
                  <w:r>
                    <w:rPr>
                      <w:rFonts w:ascii="Arial" w:cs="Arial" w:eastAsia="Arial" w:hAnsi="Arial"/>
                      <w:color w:val="C0392B"/>
                      <w:sz w:val="19"/>
                      <w:szCs w:val="19"/>
                    </w:rPr>
                    <w:t xml:space="preserve">✗  Prise de notes manuelle, comptes rendus improvisés ou absents.</w:t>
                  </w:r>
                </w:p>
              </w:tc>
              <w:tc>
                <w:tcPr>
                  <w:tcW w:type="dxa" w:w="4200"/>
                  <w:tcBorders>
                    <w:top w:val="single" w:color="CCCCCC" w:sz="1"/>
                    <w:left w:val="single" w:color="CCCCCC" w:sz="1"/>
                    <w:bottom w:val="single" w:color="CCCCCC" w:sz="1"/>
                    <w:right w:val="single" w:color="CCCCCC" w:sz="1"/>
                  </w:tcBorders>
                  <w:shd w:fill="D5F0EC" w:val="clear"/>
                  <w:tcMar>
                    <w:top w:type="dxa" w:w="80"/>
                    <w:left w:type="dxa" w:w="120"/>
                    <w:bottom w:type="dxa" w:w="80"/>
                    <w:right w:type="dxa" w:w="80"/>
                  </w:tcMar>
                </w:tcPr>
                <w:p>
                  <w:r>
                    <w:rPr>
                      <w:rFonts w:ascii="Arial" w:cs="Arial" w:eastAsia="Arial" w:hAnsi="Arial"/>
                      <w:b/>
                      <w:bCs/>
                      <w:color w:val="004433"/>
                      <w:sz w:val="19"/>
                      <w:szCs w:val="19"/>
                    </w:rPr>
                    <w:t xml:space="preserve">✓  Un compte rendu fiable et structuré, généré automatiquement quelques minutes après chaque échange.</w:t>
                  </w:r>
                </w:p>
              </w:tc>
            </w:tr>
          </w:tbl>
          <w:p>
            <w:r>
              <w:rPr>
                <w:rFonts w:ascii="Arial" w:cs="Arial" w:eastAsia="Arial" w:hAnsi="Arial"/>
              </w:rPr>
              <w:t xml:space="preserve"/>
            </w:r>
          </w:p>
        </w:tc>
      </w:tr>
    </w:tbl>
    <w:p>
      <w:pPr>
        <w:spacing w:after="160"/>
      </w:pPr>
      <w:r>
        <w:rPr>
          <w:rFonts w:ascii="Arial" w:cs="Arial" w:eastAsia="Arial" w:hAnsi="Arial"/>
        </w:rPr>
        <w:t xml:space="preserve"/>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680"/>
        <w:gridCol w:w="8346"/>
      </w:tblGrid>
      <w:tr>
        <w:tc>
          <w:tcPr>
            <w:tcW w:type="dxa" w:w="680"/>
            <w:tcBorders>
              <w:top w:val="single" w:color="FFFFFF" w:sz="0"/>
              <w:left w:val="single" w:color="FFFFFF" w:sz="0"/>
              <w:bottom w:val="single" w:color="FFFFFF" w:sz="0"/>
              <w:right w:val="single" w:color="FFFFFF" w:sz="0"/>
            </w:tcBorders>
            <w:shd w:fill="E8920A" w:val="clear"/>
            <w:tcMar>
              <w:top w:type="dxa" w:w="140"/>
              <w:left w:type="dxa" w:w="80"/>
              <w:bottom w:type="dxa" w:w="0"/>
              <w:right w:type="dxa" w:w="80"/>
            </w:tcMar>
            <w:vAlign w:val="center"/>
          </w:tcPr>
          <w:p>
            <w:pPr>
              <w:jc w:val="center"/>
            </w:pPr>
            <w:r>
              <w:rPr>
                <w:rFonts w:ascii="Arial" w:cs="Arial" w:eastAsia="Arial" w:hAnsi="Arial"/>
                <w:b/>
                <w:bCs/>
                <w:color w:val="FFFFFF"/>
                <w:sz w:val="40"/>
                <w:szCs w:val="40"/>
              </w:rPr>
              <w:t xml:space="preserve">5</w:t>
            </w:r>
          </w:p>
          <w:p>
            <w:pPr>
              <w:spacing w:before="20"/>
              <w:jc w:val="center"/>
            </w:pPr>
            <w:r>
              <w:rPr>
                <w:rFonts w:ascii="Arial" w:cs="Arial" w:eastAsia="Arial" w:hAnsi="Arial"/>
                <w:sz w:val="24"/>
                <w:szCs w:val="24"/>
              </w:rPr>
              <w:t xml:space="preserve">🔒</w:t>
            </w:r>
          </w:p>
        </w:tc>
        <w:tc>
          <w:tcPr>
            <w:tcW w:type="dxa" w:w="8346"/>
            <w:tcBorders>
              <w:top w:val="single" w:color="FFFFFF" w:sz="0"/>
              <w:left w:val="single" w:color="FFFFFF" w:sz="0"/>
              <w:bottom w:val="single" w:color="CCCCCC" w:sz="1"/>
              <w:right w:val="single" w:color="FFFFFF" w:sz="0"/>
            </w:tcBorders>
            <w:shd w:fill="E8920A" w:val="clear"/>
            <w:tcMar>
              <w:top w:type="dxa" w:w="120"/>
              <w:left w:type="dxa" w:w="220"/>
              <w:bottom w:type="dxa" w:w="80"/>
              <w:right w:type="dxa" w:w="160"/>
            </w:tcMar>
          </w:tcPr>
          <w:p>
            <w:pPr>
              <w:spacing w:after="0"/>
            </w:pPr>
            <w:r>
              <w:rPr>
                <w:rFonts w:ascii="Arial" w:cs="Arial" w:eastAsia="Arial" w:hAnsi="Arial"/>
                <w:b/>
                <w:bCs/>
                <w:color w:val="FFFFFF"/>
                <w:sz w:val="24"/>
                <w:szCs w:val="24"/>
              </w:rPr>
              <w:t xml:space="preserve">Une anonymisation intégrée au pipeline technique, pas une charte sur papier</w:t>
            </w:r>
          </w:p>
        </w:tc>
      </w:tr>
      <w:tr>
        <w:tc>
          <w:tcPr>
            <w:tcW w:type="dxa" w:w="680"/>
            <w:tcBorders>
              <w:top w:val="single" w:color="FFFFFF" w:sz="0"/>
              <w:left w:val="single" w:color="FFFFFF" w:sz="0"/>
              <w:bottom w:val="single" w:color="FFFFFF" w:sz="0"/>
              <w:right w:val="single" w:color="FFFFFF" w:sz="0"/>
            </w:tcBorders>
          </w:tcPr>
          <w:p>
            <w:r>
              <w:rPr>
                <w:rFonts w:ascii="Arial" w:cs="Arial" w:eastAsia="Arial" w:hAnsi="Arial"/>
              </w:rPr>
              <w:t xml:space="preserve"/>
            </w:r>
          </w:p>
        </w:tc>
        <w:tc>
          <w:tcPr>
            <w:tcW w:type="dxa" w:w="8346"/>
            <w:tcBorders>
              <w:top w:val="single" w:color="FFFFFF" w:sz="0"/>
              <w:left w:val="single" w:color="E8920A" w:sz="20"/>
              <w:bottom w:val="single" w:color="FFFFFF" w:sz="0"/>
              <w:right w:val="single" w:color="FFFFFF" w:sz="0"/>
            </w:tcBorders>
            <w:shd w:fill="FEF3DC" w:val="clear"/>
            <w:tcMar>
              <w:top w:type="dxa" w:w="140"/>
              <w:left w:type="dxa" w:w="220"/>
              <w:bottom w:type="dxa" w:w="100"/>
              <w:right w:type="dxa" w:w="160"/>
            </w:tcMar>
          </w:tcPr>
          <w:p>
            <w:pPr>
              <w:spacing w:after="120"/>
            </w:pPr>
            <w:r>
              <w:rPr>
                <w:rFonts w:ascii="Arial" w:cs="Arial" w:eastAsia="Arial" w:hAnsi="Arial"/>
                <w:color w:val="222222"/>
                <w:sz w:val="21"/>
                <w:szCs w:val="21"/>
              </w:rPr>
              <w:t xml:space="preserve">Avant même d'atteindre le modèle d'intelligence artificielle, les données sensibles sont détectées et masquées automatiquement par un filtre technique dédié, à chaque échange.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tblGrid>
            <w:tr>
              <w:tc>
                <w:tcPr>
                  <w:tcW w:type="dxa" w:w="380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Autres organismes</w:t>
                  </w:r>
                </w:p>
              </w:tc>
              <w:tc>
                <w:tcPr>
                  <w:tcW w:type="dxa" w:w="4200"/>
                  <w:tcBorders>
                    <w:top w:val="single" w:color="CCCCCC" w:sz="1"/>
                    <w:left w:val="single" w:color="CCCCCC" w:sz="1"/>
                    <w:bottom w:val="single" w:color="CCCCCC" w:sz="1"/>
                    <w:right w:val="single" w:color="CCCCCC" w:sz="1"/>
                  </w:tcBorders>
                  <w:shd w:fill="0D7D6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TransferAI Africa</w:t>
                  </w:r>
                </w:p>
              </w:tc>
            </w:tr>
            <w:tr>
              <w:tc>
                <w:tcPr>
                  <w:tcW w:type="dxa" w:w="38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80"/>
                  </w:tcMar>
                </w:tcPr>
                <w:p>
                  <w:r>
                    <w:rPr>
                      <w:rFonts w:ascii="Arial" w:cs="Arial" w:eastAsia="Arial" w:hAnsi="Arial"/>
                      <w:color w:val="C0392B"/>
                      <w:sz w:val="19"/>
                      <w:szCs w:val="19"/>
                    </w:rPr>
                    <w:t xml:space="preserve">✗  Une politique de confidentialité déclarative, sans garde-fou technique vérifiable.</w:t>
                  </w:r>
                </w:p>
              </w:tc>
              <w:tc>
                <w:tcPr>
                  <w:tcW w:type="dxa" w:w="4200"/>
                  <w:tcBorders>
                    <w:top w:val="single" w:color="CCCCCC" w:sz="1"/>
                    <w:left w:val="single" w:color="CCCCCC" w:sz="1"/>
                    <w:bottom w:val="single" w:color="CCCCCC" w:sz="1"/>
                    <w:right w:val="single" w:color="CCCCCC" w:sz="1"/>
                  </w:tcBorders>
                  <w:shd w:fill="D5F0EC" w:val="clear"/>
                  <w:tcMar>
                    <w:top w:type="dxa" w:w="80"/>
                    <w:left w:type="dxa" w:w="120"/>
                    <w:bottom w:type="dxa" w:w="80"/>
                    <w:right w:type="dxa" w:w="80"/>
                  </w:tcMar>
                </w:tcPr>
                <w:p>
                  <w:r>
                    <w:rPr>
                      <w:rFonts w:ascii="Arial" w:cs="Arial" w:eastAsia="Arial" w:hAnsi="Arial"/>
                      <w:b/>
                      <w:bCs/>
                      <w:color w:val="004433"/>
                      <w:sz w:val="19"/>
                      <w:szCs w:val="19"/>
                    </w:rPr>
                    <w:t xml:space="preserve">✓  Un filtre d'anonymisation actif en temps réel dans le pipeline, pas une simple promesse contractuelle.</w:t>
                  </w:r>
                </w:p>
              </w:tc>
            </w:tr>
          </w:tbl>
          <w:p>
            <w:r>
              <w:rPr>
                <w:rFonts w:ascii="Arial" w:cs="Arial" w:eastAsia="Arial" w:hAnsi="Arial"/>
              </w:rPr>
              <w:t xml:space="preserve"/>
            </w:r>
          </w:p>
        </w:tc>
      </w:tr>
    </w:tbl>
    <w:p>
      <w:pPr>
        <w:spacing w:after="160"/>
      </w:pPr>
      <w:r>
        <w:rPr>
          <w:rFonts w:ascii="Arial" w:cs="Arial" w:eastAsia="Arial" w:hAnsi="Arial"/>
        </w:rPr>
        <w:t xml:space="preserve"/>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680"/>
        <w:gridCol w:w="8346"/>
      </w:tblGrid>
      <w:tr>
        <w:tc>
          <w:tcPr>
            <w:tcW w:type="dxa" w:w="680"/>
            <w:tcBorders>
              <w:top w:val="single" w:color="FFFFFF" w:sz="0"/>
              <w:left w:val="single" w:color="FFFFFF" w:sz="0"/>
              <w:bottom w:val="single" w:color="FFFFFF" w:sz="0"/>
              <w:right w:val="single" w:color="FFFFFF" w:sz="0"/>
            </w:tcBorders>
            <w:shd w:fill="0D7D6B" w:val="clear"/>
            <w:tcMar>
              <w:top w:type="dxa" w:w="140"/>
              <w:left w:type="dxa" w:w="80"/>
              <w:bottom w:type="dxa" w:w="0"/>
              <w:right w:type="dxa" w:w="80"/>
            </w:tcMar>
            <w:vAlign w:val="center"/>
          </w:tcPr>
          <w:p>
            <w:pPr>
              <w:jc w:val="center"/>
            </w:pPr>
            <w:r>
              <w:rPr>
                <w:rFonts w:ascii="Arial" w:cs="Arial" w:eastAsia="Arial" w:hAnsi="Arial"/>
                <w:b/>
                <w:bCs/>
                <w:color w:val="FFFFFF"/>
                <w:sz w:val="40"/>
                <w:szCs w:val="40"/>
              </w:rPr>
              <w:t xml:space="preserve">6</w:t>
            </w:r>
          </w:p>
          <w:p>
            <w:pPr>
              <w:spacing w:before="20"/>
              <w:jc w:val="center"/>
            </w:pPr>
            <w:r>
              <w:rPr>
                <w:rFonts w:ascii="Arial" w:cs="Arial" w:eastAsia="Arial" w:hAnsi="Arial"/>
                <w:sz w:val="24"/>
                <w:szCs w:val="24"/>
              </w:rPr>
              <w:t xml:space="preserve">☁</w:t>
            </w:r>
          </w:p>
        </w:tc>
        <w:tc>
          <w:tcPr>
            <w:tcW w:type="dxa" w:w="8346"/>
            <w:tcBorders>
              <w:top w:val="single" w:color="FFFFFF" w:sz="0"/>
              <w:left w:val="single" w:color="FFFFFF" w:sz="0"/>
              <w:bottom w:val="single" w:color="CCCCCC" w:sz="1"/>
              <w:right w:val="single" w:color="FFFFFF" w:sz="0"/>
            </w:tcBorders>
            <w:shd w:fill="0D7D6B" w:val="clear"/>
            <w:tcMar>
              <w:top w:type="dxa" w:w="120"/>
              <w:left w:type="dxa" w:w="220"/>
              <w:bottom w:type="dxa" w:w="80"/>
              <w:right w:type="dxa" w:w="160"/>
            </w:tcMar>
          </w:tcPr>
          <w:p>
            <w:pPr>
              <w:spacing w:after="0"/>
            </w:pPr>
            <w:r>
              <w:rPr>
                <w:rFonts w:ascii="Arial" w:cs="Arial" w:eastAsia="Arial" w:hAnsi="Arial"/>
                <w:b/>
                <w:bCs/>
                <w:color w:val="FFFFFF"/>
                <w:sz w:val="24"/>
                <w:szCs w:val="24"/>
              </w:rPr>
              <w:t xml:space="preserve">Une infrastructure cloud moderne et évolutive (Supabase + Cloudflare)</w:t>
            </w:r>
          </w:p>
        </w:tc>
      </w:tr>
      <w:tr>
        <w:tc>
          <w:tcPr>
            <w:tcW w:type="dxa" w:w="680"/>
            <w:tcBorders>
              <w:top w:val="single" w:color="FFFFFF" w:sz="0"/>
              <w:left w:val="single" w:color="FFFFFF" w:sz="0"/>
              <w:bottom w:val="single" w:color="FFFFFF" w:sz="0"/>
              <w:right w:val="single" w:color="FFFFFF" w:sz="0"/>
            </w:tcBorders>
          </w:tcPr>
          <w:p>
            <w:r>
              <w:rPr>
                <w:rFonts w:ascii="Arial" w:cs="Arial" w:eastAsia="Arial" w:hAnsi="Arial"/>
              </w:rPr>
              <w:t xml:space="preserve"/>
            </w:r>
          </w:p>
        </w:tc>
        <w:tc>
          <w:tcPr>
            <w:tcW w:type="dxa" w:w="8346"/>
            <w:tcBorders>
              <w:top w:val="single" w:color="FFFFFF" w:sz="0"/>
              <w:left w:val="single" w:color="0D7D6B" w:sz="20"/>
              <w:bottom w:val="single" w:color="FFFFFF" w:sz="0"/>
              <w:right w:val="single" w:color="FFFFFF" w:sz="0"/>
            </w:tcBorders>
            <w:shd w:fill="D5F0EC" w:val="clear"/>
            <w:tcMar>
              <w:top w:type="dxa" w:w="140"/>
              <w:left w:type="dxa" w:w="220"/>
              <w:bottom w:type="dxa" w:w="100"/>
              <w:right w:type="dxa" w:w="160"/>
            </w:tcMar>
          </w:tcPr>
          <w:p>
            <w:pPr>
              <w:spacing w:after="120"/>
            </w:pPr>
            <w:r>
              <w:rPr>
                <w:rFonts w:ascii="Arial" w:cs="Arial" w:eastAsia="Arial" w:hAnsi="Arial"/>
                <w:color w:val="222222"/>
                <w:sz w:val="21"/>
                <w:szCs w:val="21"/>
              </w:rPr>
              <w:t xml:space="preserve">Données et logique métier reposent sur une infrastructure cloud élastique, avec un site déployé sur un réseau mondial de diffusion de contenu pour une disponibilité et une rapidité constantes.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tblGrid>
            <w:tr>
              <w:tc>
                <w:tcPr>
                  <w:tcW w:type="dxa" w:w="380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Autres organismes</w:t>
                  </w:r>
                </w:p>
              </w:tc>
              <w:tc>
                <w:tcPr>
                  <w:tcW w:type="dxa" w:w="4200"/>
                  <w:tcBorders>
                    <w:top w:val="single" w:color="CCCCCC" w:sz="1"/>
                    <w:left w:val="single" w:color="CCCCCC" w:sz="1"/>
                    <w:bottom w:val="single" w:color="CCCCCC" w:sz="1"/>
                    <w:right w:val="single" w:color="CCCCCC" w:sz="1"/>
                  </w:tcBorders>
                  <w:shd w:fill="0D7D6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TransferAI Africa</w:t>
                  </w:r>
                </w:p>
              </w:tc>
            </w:tr>
            <w:tr>
              <w:tc>
                <w:tcPr>
                  <w:tcW w:type="dxa" w:w="38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80"/>
                  </w:tcMar>
                </w:tcPr>
                <w:p>
                  <w:r>
                    <w:rPr>
                      <w:rFonts w:ascii="Arial" w:cs="Arial" w:eastAsia="Arial" w:hAnsi="Arial"/>
                      <w:color w:val="C0392B"/>
                      <w:sz w:val="19"/>
                      <w:szCs w:val="19"/>
                    </w:rPr>
                    <w:t xml:space="preserve">✗  Hébergement mutualisé classique, souvent limité en capacité et en résilience.</w:t>
                  </w:r>
                </w:p>
              </w:tc>
              <w:tc>
                <w:tcPr>
                  <w:tcW w:type="dxa" w:w="4200"/>
                  <w:tcBorders>
                    <w:top w:val="single" w:color="CCCCCC" w:sz="1"/>
                    <w:left w:val="single" w:color="CCCCCC" w:sz="1"/>
                    <w:bottom w:val="single" w:color="CCCCCC" w:sz="1"/>
                    <w:right w:val="single" w:color="CCCCCC" w:sz="1"/>
                  </w:tcBorders>
                  <w:shd w:fill="D5F0EC" w:val="clear"/>
                  <w:tcMar>
                    <w:top w:type="dxa" w:w="80"/>
                    <w:left w:type="dxa" w:w="120"/>
                    <w:bottom w:type="dxa" w:w="80"/>
                    <w:right w:type="dxa" w:w="80"/>
                  </w:tcMar>
                </w:tcPr>
                <w:p>
                  <w:r>
                    <w:rPr>
                      <w:rFonts w:ascii="Arial" w:cs="Arial" w:eastAsia="Arial" w:hAnsi="Arial"/>
                      <w:b/>
                      <w:bCs/>
                      <w:color w:val="004433"/>
                      <w:sz w:val="19"/>
                      <w:szCs w:val="19"/>
                    </w:rPr>
                    <w:t xml:space="preserve">✓  Une infrastructure cloud (Supabase, Cloudflare) pensée pour monter en charge sans rupture de service.</w:t>
                  </w:r>
                </w:p>
              </w:tc>
            </w:tr>
          </w:tbl>
          <w:p>
            <w:r>
              <w:rPr>
                <w:rFonts w:ascii="Arial" w:cs="Arial" w:eastAsia="Arial" w:hAnsi="Arial"/>
              </w:rPr>
              <w:t xml:space="preserve"/>
            </w:r>
          </w:p>
        </w:tc>
      </w:tr>
    </w:tbl>
    <w:p>
      <w:pPr>
        <w:spacing w:after="160"/>
      </w:pPr>
      <w:r>
        <w:rPr>
          <w:rFonts w:ascii="Arial" w:cs="Arial" w:eastAsia="Arial" w:hAnsi="Arial"/>
        </w:rPr>
        <w:t xml:space="preserve"/>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680"/>
        <w:gridCol w:w="8346"/>
      </w:tblGrid>
      <w:tr>
        <w:tc>
          <w:tcPr>
            <w:tcW w:type="dxa" w:w="680"/>
            <w:tcBorders>
              <w:top w:val="single" w:color="FFFFFF" w:sz="0"/>
              <w:left w:val="single" w:color="FFFFFF" w:sz="0"/>
              <w:bottom w:val="single" w:color="FFFFFF" w:sz="0"/>
              <w:right w:val="single" w:color="FFFFFF" w:sz="0"/>
            </w:tcBorders>
            <w:shd w:fill="10263F" w:val="clear"/>
            <w:tcMar>
              <w:top w:type="dxa" w:w="140"/>
              <w:left w:type="dxa" w:w="80"/>
              <w:bottom w:type="dxa" w:w="0"/>
              <w:right w:type="dxa" w:w="80"/>
            </w:tcMar>
            <w:vAlign w:val="center"/>
          </w:tcPr>
          <w:p>
            <w:pPr>
              <w:jc w:val="center"/>
            </w:pPr>
            <w:r>
              <w:rPr>
                <w:rFonts w:ascii="Arial" w:cs="Arial" w:eastAsia="Arial" w:hAnsi="Arial"/>
                <w:b/>
                <w:bCs/>
                <w:color w:val="FFFFFF"/>
                <w:sz w:val="40"/>
                <w:szCs w:val="40"/>
              </w:rPr>
              <w:t xml:space="preserve">7</w:t>
            </w:r>
          </w:p>
          <w:p>
            <w:pPr>
              <w:spacing w:before="20"/>
              <w:jc w:val="center"/>
            </w:pPr>
            <w:r>
              <w:rPr>
                <w:rFonts w:ascii="Arial" w:cs="Arial" w:eastAsia="Arial" w:hAnsi="Arial"/>
                <w:sz w:val="24"/>
                <w:szCs w:val="24"/>
              </w:rPr>
              <w:t xml:space="preserve">📅</w:t>
            </w:r>
          </w:p>
        </w:tc>
        <w:tc>
          <w:tcPr>
            <w:tcW w:type="dxa" w:w="8346"/>
            <w:tcBorders>
              <w:top w:val="single" w:color="FFFFFF" w:sz="0"/>
              <w:left w:val="single" w:color="FFFFFF" w:sz="0"/>
              <w:bottom w:val="single" w:color="CCCCCC" w:sz="1"/>
              <w:right w:val="single" w:color="FFFFFF" w:sz="0"/>
            </w:tcBorders>
            <w:shd w:fill="10263F" w:val="clear"/>
            <w:tcMar>
              <w:top w:type="dxa" w:w="120"/>
              <w:left w:type="dxa" w:w="220"/>
              <w:bottom w:type="dxa" w:w="80"/>
              <w:right w:type="dxa" w:w="160"/>
            </w:tcMar>
          </w:tcPr>
          <w:p>
            <w:pPr>
              <w:spacing w:after="0"/>
            </w:pPr>
            <w:r>
              <w:rPr>
                <w:rFonts w:ascii="Arial" w:cs="Arial" w:eastAsia="Arial" w:hAnsi="Arial"/>
                <w:b/>
                <w:bCs/>
                <w:color w:val="FFFFFF"/>
                <w:sz w:val="24"/>
                <w:szCs w:val="24"/>
              </w:rPr>
              <w:t xml:space="preserve">Une prise de rendez-vous pilotée automatiquement (Calendly intégré)</w:t>
            </w:r>
          </w:p>
        </w:tc>
      </w:tr>
      <w:tr>
        <w:tc>
          <w:tcPr>
            <w:tcW w:type="dxa" w:w="680"/>
            <w:tcBorders>
              <w:top w:val="single" w:color="FFFFFF" w:sz="0"/>
              <w:left w:val="single" w:color="FFFFFF" w:sz="0"/>
              <w:bottom w:val="single" w:color="FFFFFF" w:sz="0"/>
              <w:right w:val="single" w:color="FFFFFF" w:sz="0"/>
            </w:tcBorders>
          </w:tcPr>
          <w:p>
            <w:r>
              <w:rPr>
                <w:rFonts w:ascii="Arial" w:cs="Arial" w:eastAsia="Arial" w:hAnsi="Arial"/>
              </w:rPr>
              <w:t xml:space="preserve"/>
            </w:r>
          </w:p>
        </w:tc>
        <w:tc>
          <w:tcPr>
            <w:tcW w:type="dxa" w:w="8346"/>
            <w:tcBorders>
              <w:top w:val="single" w:color="FFFFFF" w:sz="0"/>
              <w:left w:val="single" w:color="10263F" w:sz="20"/>
              <w:bottom w:val="single" w:color="FFFFFF" w:sz="0"/>
              <w:right w:val="single" w:color="FFFFFF" w:sz="0"/>
            </w:tcBorders>
            <w:shd w:fill="D6E4F0" w:val="clear"/>
            <w:tcMar>
              <w:top w:type="dxa" w:w="140"/>
              <w:left w:type="dxa" w:w="220"/>
              <w:bottom w:type="dxa" w:w="100"/>
              <w:right w:type="dxa" w:w="160"/>
            </w:tcMar>
          </w:tcPr>
          <w:p>
            <w:pPr>
              <w:spacing w:after="120"/>
            </w:pPr>
            <w:r>
              <w:rPr>
                <w:rFonts w:ascii="Arial" w:cs="Arial" w:eastAsia="Arial" w:hAnsi="Arial"/>
                <w:color w:val="222222"/>
                <w:sz w:val="21"/>
                <w:szCs w:val="21"/>
              </w:rPr>
              <w:t xml:space="preserve">De la prise de contact à la prise de rendez-vous avec un expert, chaque étape est scorée, priorisée et suivie automatiquement, avec relance sans oubli.</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tblGrid>
            <w:tr>
              <w:tc>
                <w:tcPr>
                  <w:tcW w:type="dxa" w:w="380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Autres organismes</w:t>
                  </w:r>
                </w:p>
              </w:tc>
              <w:tc>
                <w:tcPr>
                  <w:tcW w:type="dxa" w:w="4200"/>
                  <w:tcBorders>
                    <w:top w:val="single" w:color="CCCCCC" w:sz="1"/>
                    <w:left w:val="single" w:color="CCCCCC" w:sz="1"/>
                    <w:bottom w:val="single" w:color="CCCCCC" w:sz="1"/>
                    <w:right w:val="single" w:color="CCCCCC" w:sz="1"/>
                  </w:tcBorders>
                  <w:shd w:fill="0D7D6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TransferAI Africa</w:t>
                  </w:r>
                </w:p>
              </w:tc>
            </w:tr>
            <w:tr>
              <w:tc>
                <w:tcPr>
                  <w:tcW w:type="dxa" w:w="38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80"/>
                  </w:tcMar>
                </w:tcPr>
                <w:p>
                  <w:r>
                    <w:rPr>
                      <w:rFonts w:ascii="Arial" w:cs="Arial" w:eastAsia="Arial" w:hAnsi="Arial"/>
                      <w:color w:val="C0392B"/>
                      <w:sz w:val="19"/>
                      <w:szCs w:val="19"/>
                    </w:rPr>
                    <w:t xml:space="preserve">✗  Suivi manuel sur tableur, relances oubliées, rendez-vous perdus.</w:t>
                  </w:r>
                </w:p>
              </w:tc>
              <w:tc>
                <w:tcPr>
                  <w:tcW w:type="dxa" w:w="4200"/>
                  <w:tcBorders>
                    <w:top w:val="single" w:color="CCCCCC" w:sz="1"/>
                    <w:left w:val="single" w:color="CCCCCC" w:sz="1"/>
                    <w:bottom w:val="single" w:color="CCCCCC" w:sz="1"/>
                    <w:right w:val="single" w:color="CCCCCC" w:sz="1"/>
                  </w:tcBorders>
                  <w:shd w:fill="D5F0EC" w:val="clear"/>
                  <w:tcMar>
                    <w:top w:type="dxa" w:w="80"/>
                    <w:left w:type="dxa" w:w="120"/>
                    <w:bottom w:type="dxa" w:w="80"/>
                    <w:right w:type="dxa" w:w="80"/>
                  </w:tcMar>
                </w:tcPr>
                <w:p>
                  <w:r>
                    <w:rPr>
                      <w:rFonts w:ascii="Arial" w:cs="Arial" w:eastAsia="Arial" w:hAnsi="Arial"/>
                      <w:b/>
                      <w:bCs/>
                      <w:color w:val="004433"/>
                      <w:sz w:val="19"/>
                      <w:szCs w:val="19"/>
                    </w:rPr>
                    <w:t xml:space="preserve">✓  Un pipeline de qualification et de prise de rendez-vous entièrement automatisé et traçable.</w:t>
                  </w:r>
                </w:p>
              </w:tc>
            </w:tr>
          </w:tbl>
          <w:p>
            <w:r>
              <w:rPr>
                <w:rFonts w:ascii="Arial" w:cs="Arial" w:eastAsia="Arial" w:hAnsi="Arial"/>
              </w:rPr>
              <w:t xml:space="preserve"/>
            </w:r>
          </w:p>
        </w:tc>
      </w:tr>
    </w:tbl>
    <w:p>
      <w:pPr>
        <w:spacing w:after="160"/>
      </w:pPr>
      <w:r>
        <w:rPr>
          <w:rFonts w:ascii="Arial" w:cs="Arial" w:eastAsia="Arial" w:hAnsi="Arial"/>
        </w:rPr>
        <w:t xml:space="preserve"/>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680"/>
        <w:gridCol w:w="8346"/>
      </w:tblGrid>
      <w:tr>
        <w:tc>
          <w:tcPr>
            <w:tcW w:type="dxa" w:w="680"/>
            <w:tcBorders>
              <w:top w:val="single" w:color="FFFFFF" w:sz="0"/>
              <w:left w:val="single" w:color="FFFFFF" w:sz="0"/>
              <w:bottom w:val="single" w:color="FFFFFF" w:sz="0"/>
              <w:right w:val="single" w:color="FFFFFF" w:sz="0"/>
            </w:tcBorders>
            <w:shd w:fill="E8920A" w:val="clear"/>
            <w:tcMar>
              <w:top w:type="dxa" w:w="140"/>
              <w:left w:type="dxa" w:w="80"/>
              <w:bottom w:type="dxa" w:w="0"/>
              <w:right w:type="dxa" w:w="80"/>
            </w:tcMar>
            <w:vAlign w:val="center"/>
          </w:tcPr>
          <w:p>
            <w:pPr>
              <w:jc w:val="center"/>
            </w:pPr>
            <w:r>
              <w:rPr>
                <w:rFonts w:ascii="Arial" w:cs="Arial" w:eastAsia="Arial" w:hAnsi="Arial"/>
                <w:b/>
                <w:bCs/>
                <w:color w:val="FFFFFF"/>
                <w:sz w:val="40"/>
                <w:szCs w:val="40"/>
              </w:rPr>
              <w:t xml:space="preserve">8</w:t>
            </w:r>
          </w:p>
          <w:p>
            <w:pPr>
              <w:spacing w:before="20"/>
              <w:jc w:val="center"/>
            </w:pPr>
            <w:r>
              <w:rPr>
                <w:rFonts w:ascii="Arial" w:cs="Arial" w:eastAsia="Arial" w:hAnsi="Arial"/>
                <w:sz w:val="24"/>
                <w:szCs w:val="24"/>
              </w:rPr>
              <w:t xml:space="preserve">📧</w:t>
            </w:r>
          </w:p>
        </w:tc>
        <w:tc>
          <w:tcPr>
            <w:tcW w:type="dxa" w:w="8346"/>
            <w:tcBorders>
              <w:top w:val="single" w:color="FFFFFF" w:sz="0"/>
              <w:left w:val="single" w:color="FFFFFF" w:sz="0"/>
              <w:bottom w:val="single" w:color="CCCCCC" w:sz="1"/>
              <w:right w:val="single" w:color="FFFFFF" w:sz="0"/>
            </w:tcBorders>
            <w:shd w:fill="E8920A" w:val="clear"/>
            <w:tcMar>
              <w:top w:type="dxa" w:w="120"/>
              <w:left w:type="dxa" w:w="220"/>
              <w:bottom w:type="dxa" w:w="80"/>
              <w:right w:type="dxa" w:w="160"/>
            </w:tcMar>
          </w:tcPr>
          <w:p>
            <w:pPr>
              <w:spacing w:after="0"/>
            </w:pPr>
            <w:r>
              <w:rPr>
                <w:rFonts w:ascii="Arial" w:cs="Arial" w:eastAsia="Arial" w:hAnsi="Arial"/>
                <w:b/>
                <w:bCs/>
                <w:color w:val="FFFFFF"/>
                <w:sz w:val="24"/>
                <w:szCs w:val="24"/>
              </w:rPr>
              <w:t xml:space="preserve">Un emailing transactionnel et de nurturing automatisé (Resend + Zoho Mail)</w:t>
            </w:r>
          </w:p>
        </w:tc>
      </w:tr>
      <w:tr>
        <w:tc>
          <w:tcPr>
            <w:tcW w:type="dxa" w:w="680"/>
            <w:tcBorders>
              <w:top w:val="single" w:color="FFFFFF" w:sz="0"/>
              <w:left w:val="single" w:color="FFFFFF" w:sz="0"/>
              <w:bottom w:val="single" w:color="FFFFFF" w:sz="0"/>
              <w:right w:val="single" w:color="FFFFFF" w:sz="0"/>
            </w:tcBorders>
          </w:tcPr>
          <w:p>
            <w:r>
              <w:rPr>
                <w:rFonts w:ascii="Arial" w:cs="Arial" w:eastAsia="Arial" w:hAnsi="Arial"/>
              </w:rPr>
              <w:t xml:space="preserve"/>
            </w:r>
          </w:p>
        </w:tc>
        <w:tc>
          <w:tcPr>
            <w:tcW w:type="dxa" w:w="8346"/>
            <w:tcBorders>
              <w:top w:val="single" w:color="FFFFFF" w:sz="0"/>
              <w:left w:val="single" w:color="E8920A" w:sz="20"/>
              <w:bottom w:val="single" w:color="FFFFFF" w:sz="0"/>
              <w:right w:val="single" w:color="FFFFFF" w:sz="0"/>
            </w:tcBorders>
            <w:shd w:fill="FEF3DC" w:val="clear"/>
            <w:tcMar>
              <w:top w:type="dxa" w:w="140"/>
              <w:left w:type="dxa" w:w="220"/>
              <w:bottom w:type="dxa" w:w="100"/>
              <w:right w:type="dxa" w:w="160"/>
            </w:tcMar>
          </w:tcPr>
          <w:p>
            <w:pPr>
              <w:spacing w:after="120"/>
            </w:pPr>
            <w:r>
              <w:rPr>
                <w:rFonts w:ascii="Arial" w:cs="Arial" w:eastAsia="Arial" w:hAnsi="Arial"/>
                <w:color w:val="222222"/>
                <w:sz w:val="21"/>
                <w:szCs w:val="21"/>
              </w:rPr>
              <w:t xml:space="preserve">Chaque étape du parcours (audit, formation, webinaire) déclenche automatiquement les bons emails, au bon moment, sans intervention manuelle.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tblGrid>
            <w:tr>
              <w:tc>
                <w:tcPr>
                  <w:tcW w:type="dxa" w:w="380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Autres organismes</w:t>
                  </w:r>
                </w:p>
              </w:tc>
              <w:tc>
                <w:tcPr>
                  <w:tcW w:type="dxa" w:w="4200"/>
                  <w:tcBorders>
                    <w:top w:val="single" w:color="CCCCCC" w:sz="1"/>
                    <w:left w:val="single" w:color="CCCCCC" w:sz="1"/>
                    <w:bottom w:val="single" w:color="CCCCCC" w:sz="1"/>
                    <w:right w:val="single" w:color="CCCCCC" w:sz="1"/>
                  </w:tcBorders>
                  <w:shd w:fill="0D7D6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TransferAI Africa</w:t>
                  </w:r>
                </w:p>
              </w:tc>
            </w:tr>
            <w:tr>
              <w:tc>
                <w:tcPr>
                  <w:tcW w:type="dxa" w:w="38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80"/>
                  </w:tcMar>
                </w:tcPr>
                <w:p>
                  <w:r>
                    <w:rPr>
                      <w:rFonts w:ascii="Arial" w:cs="Arial" w:eastAsia="Arial" w:hAnsi="Arial"/>
                      <w:color w:val="C0392B"/>
                      <w:sz w:val="19"/>
                      <w:szCs w:val="19"/>
                    </w:rPr>
                    <w:t xml:space="preserve">✗  Des envois manuels ou des campagnes génériques, sans personnalisation ni séquencement.</w:t>
                  </w:r>
                </w:p>
              </w:tc>
              <w:tc>
                <w:tcPr>
                  <w:tcW w:type="dxa" w:w="4200"/>
                  <w:tcBorders>
                    <w:top w:val="single" w:color="CCCCCC" w:sz="1"/>
                    <w:left w:val="single" w:color="CCCCCC" w:sz="1"/>
                    <w:bottom w:val="single" w:color="CCCCCC" w:sz="1"/>
                    <w:right w:val="single" w:color="CCCCCC" w:sz="1"/>
                  </w:tcBorders>
                  <w:shd w:fill="D5F0EC" w:val="clear"/>
                  <w:tcMar>
                    <w:top w:type="dxa" w:w="80"/>
                    <w:left w:type="dxa" w:w="120"/>
                    <w:bottom w:type="dxa" w:w="80"/>
                    <w:right w:type="dxa" w:w="80"/>
                  </w:tcMar>
                </w:tcPr>
                <w:p>
                  <w:r>
                    <w:rPr>
                      <w:rFonts w:ascii="Arial" w:cs="Arial" w:eastAsia="Arial" w:hAnsi="Arial"/>
                      <w:b/>
                      <w:bCs/>
                      <w:color w:val="004433"/>
                      <w:sz w:val="19"/>
                      <w:szCs w:val="19"/>
                    </w:rPr>
                    <w:t xml:space="preserve">✓  Des séquences email automatisées et déclenchées par les actions réelles du prospect ou du client.</w:t>
                  </w:r>
                </w:p>
              </w:tc>
            </w:tr>
          </w:tbl>
          <w:p>
            <w:r>
              <w:rPr>
                <w:rFonts w:ascii="Arial" w:cs="Arial" w:eastAsia="Arial" w:hAnsi="Arial"/>
              </w:rPr>
              <w:t xml:space="preserve"/>
            </w:r>
          </w:p>
        </w:tc>
      </w:tr>
    </w:tbl>
    <w:p>
      <w:pPr>
        <w:spacing w:after="160"/>
      </w:pPr>
      <w:r>
        <w:rPr>
          <w:rFonts w:ascii="Arial" w:cs="Arial" w:eastAsia="Arial" w:hAnsi="Arial"/>
        </w:rPr>
        <w:t xml:space="preserve"/>
      </w: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680"/>
        <w:gridCol w:w="8346"/>
      </w:tblGrid>
      <w:tr>
        <w:tc>
          <w:tcPr>
            <w:tcW w:type="dxa" w:w="680"/>
            <w:tcBorders>
              <w:top w:val="single" w:color="FFFFFF" w:sz="0"/>
              <w:left w:val="single" w:color="FFFFFF" w:sz="0"/>
              <w:bottom w:val="single" w:color="FFFFFF" w:sz="0"/>
              <w:right w:val="single" w:color="FFFFFF" w:sz="0"/>
            </w:tcBorders>
            <w:shd w:fill="0D7D6B" w:val="clear"/>
            <w:tcMar>
              <w:top w:type="dxa" w:w="140"/>
              <w:left w:type="dxa" w:w="80"/>
              <w:bottom w:type="dxa" w:w="0"/>
              <w:right w:type="dxa" w:w="80"/>
            </w:tcMar>
            <w:vAlign w:val="center"/>
          </w:tcPr>
          <w:p>
            <w:pPr>
              <w:jc w:val="center"/>
            </w:pPr>
            <w:r>
              <w:rPr>
                <w:rFonts w:ascii="Arial" w:cs="Arial" w:eastAsia="Arial" w:hAnsi="Arial"/>
                <w:b/>
                <w:bCs/>
                <w:color w:val="FFFFFF"/>
                <w:sz w:val="40"/>
                <w:szCs w:val="40"/>
              </w:rPr>
              <w:t xml:space="preserve">9</w:t>
            </w:r>
          </w:p>
          <w:p>
            <w:pPr>
              <w:spacing w:before="20"/>
              <w:jc w:val="center"/>
            </w:pPr>
            <w:r>
              <w:rPr>
                <w:rFonts w:ascii="Arial" w:cs="Arial" w:eastAsia="Arial" w:hAnsi="Arial"/>
                <w:sz w:val="24"/>
                <w:szCs w:val="24"/>
              </w:rPr>
              <w:t xml:space="preserve">📊</w:t>
            </w:r>
          </w:p>
        </w:tc>
        <w:tc>
          <w:tcPr>
            <w:tcW w:type="dxa" w:w="8346"/>
            <w:tcBorders>
              <w:top w:val="single" w:color="FFFFFF" w:sz="0"/>
              <w:left w:val="single" w:color="FFFFFF" w:sz="0"/>
              <w:bottom w:val="single" w:color="CCCCCC" w:sz="1"/>
              <w:right w:val="single" w:color="FFFFFF" w:sz="0"/>
            </w:tcBorders>
            <w:shd w:fill="0D7D6B" w:val="clear"/>
            <w:tcMar>
              <w:top w:type="dxa" w:w="120"/>
              <w:left w:type="dxa" w:w="220"/>
              <w:bottom w:type="dxa" w:w="80"/>
              <w:right w:type="dxa" w:w="160"/>
            </w:tcMar>
          </w:tcPr>
          <w:p>
            <w:pPr>
              <w:spacing w:after="0"/>
            </w:pPr>
            <w:r>
              <w:rPr>
                <w:rFonts w:ascii="Arial" w:cs="Arial" w:eastAsia="Arial" w:hAnsi="Arial"/>
                <w:b/>
                <w:bCs/>
                <w:color w:val="FFFFFF"/>
                <w:sz w:val="24"/>
                <w:szCs w:val="24"/>
              </w:rPr>
              <w:t xml:space="preserve">Un pilotage quotidien basé sur des données réelles (tâches planifiées automatiques)</w:t>
            </w:r>
          </w:p>
        </w:tc>
      </w:tr>
      <w:tr>
        <w:tc>
          <w:tcPr>
            <w:tcW w:type="dxa" w:w="680"/>
            <w:tcBorders>
              <w:top w:val="single" w:color="FFFFFF" w:sz="0"/>
              <w:left w:val="single" w:color="FFFFFF" w:sz="0"/>
              <w:bottom w:val="single" w:color="FFFFFF" w:sz="0"/>
              <w:right w:val="single" w:color="FFFFFF" w:sz="0"/>
            </w:tcBorders>
          </w:tcPr>
          <w:p>
            <w:r>
              <w:rPr>
                <w:rFonts w:ascii="Arial" w:cs="Arial" w:eastAsia="Arial" w:hAnsi="Arial"/>
              </w:rPr>
              <w:t xml:space="preserve"/>
            </w:r>
          </w:p>
        </w:tc>
        <w:tc>
          <w:tcPr>
            <w:tcW w:type="dxa" w:w="8346"/>
            <w:tcBorders>
              <w:top w:val="single" w:color="FFFFFF" w:sz="0"/>
              <w:left w:val="single" w:color="0D7D6B" w:sz="20"/>
              <w:bottom w:val="single" w:color="FFFFFF" w:sz="0"/>
              <w:right w:val="single" w:color="FFFFFF" w:sz="0"/>
            </w:tcBorders>
            <w:shd w:fill="D5F0EC" w:val="clear"/>
            <w:tcMar>
              <w:top w:type="dxa" w:w="140"/>
              <w:left w:type="dxa" w:w="220"/>
              <w:bottom w:type="dxa" w:w="100"/>
              <w:right w:type="dxa" w:w="160"/>
            </w:tcMar>
          </w:tcPr>
          <w:p>
            <w:pPr>
              <w:spacing w:after="120"/>
            </w:pPr>
            <w:r>
              <w:rPr>
                <w:rFonts w:ascii="Arial" w:cs="Arial" w:eastAsia="Arial" w:hAnsi="Arial"/>
                <w:color w:val="222222"/>
                <w:sz w:val="21"/>
                <w:szCs w:val="21"/>
              </w:rPr>
              <w:t xml:space="preserve">Un digest quotidien consolide automatiquement l'activité (inscriptions, échanges, statuts) pour permettre une décision rapide, sans reporting manuel.</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tblGrid>
            <w:tr>
              <w:tc>
                <w:tcPr>
                  <w:tcW w:type="dxa" w:w="3800"/>
                  <w:tcBorders>
                    <w:top w:val="single" w:color="CCCCCC" w:sz="1"/>
                    <w:left w:val="single" w:color="CCCCCC" w:sz="1"/>
                    <w:bottom w:val="single" w:color="CCCCCC" w:sz="1"/>
                    <w:right w:val="single" w:color="CCCCCC" w:sz="1"/>
                  </w:tcBorders>
                  <w:shd w:fill="C0392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Autres organismes</w:t>
                  </w:r>
                </w:p>
              </w:tc>
              <w:tc>
                <w:tcPr>
                  <w:tcW w:type="dxa" w:w="4200"/>
                  <w:tcBorders>
                    <w:top w:val="single" w:color="CCCCCC" w:sz="1"/>
                    <w:left w:val="single" w:color="CCCCCC" w:sz="1"/>
                    <w:bottom w:val="single" w:color="CCCCCC" w:sz="1"/>
                    <w:right w:val="single" w:color="CCCCCC" w:sz="1"/>
                  </w:tcBorders>
                  <w:shd w:fill="0D7D6B" w:val="clear"/>
                  <w:tcMar>
                    <w:top w:type="dxa" w:w="60"/>
                    <w:left w:type="dxa" w:w="120"/>
                    <w:bottom w:type="dxa" w:w="60"/>
                    <w:right w:type="dxa" w:w="80"/>
                  </w:tcMar>
                </w:tcPr>
                <w:p>
                  <w:pPr>
                    <w:jc w:val="center"/>
                  </w:pPr>
                  <w:r>
                    <w:rPr>
                      <w:rFonts w:ascii="Arial" w:cs="Arial" w:eastAsia="Arial" w:hAnsi="Arial"/>
                      <w:b/>
                      <w:bCs/>
                      <w:color w:val="FFFFFF"/>
                      <w:sz w:val="18"/>
                      <w:szCs w:val="18"/>
                    </w:rPr>
                    <w:t xml:space="preserve">TransferAI Africa</w:t>
                  </w:r>
                </w:p>
              </w:tc>
            </w:tr>
            <w:tr>
              <w:tc>
                <w:tcPr>
                  <w:tcW w:type="dxa" w:w="38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80"/>
                  </w:tcMar>
                </w:tcPr>
                <w:p>
                  <w:r>
                    <w:rPr>
                      <w:rFonts w:ascii="Arial" w:cs="Arial" w:eastAsia="Arial" w:hAnsi="Arial"/>
                      <w:color w:val="C0392B"/>
                      <w:sz w:val="19"/>
                      <w:szCs w:val="19"/>
                    </w:rPr>
                    <w:t xml:space="preserve">✗  Un reporting manuel, souvent tardif ou incomplet.</w:t>
                  </w:r>
                </w:p>
              </w:tc>
              <w:tc>
                <w:tcPr>
                  <w:tcW w:type="dxa" w:w="4200"/>
                  <w:tcBorders>
                    <w:top w:val="single" w:color="CCCCCC" w:sz="1"/>
                    <w:left w:val="single" w:color="CCCCCC" w:sz="1"/>
                    <w:bottom w:val="single" w:color="CCCCCC" w:sz="1"/>
                    <w:right w:val="single" w:color="CCCCCC" w:sz="1"/>
                  </w:tcBorders>
                  <w:shd w:fill="D5F0EC" w:val="clear"/>
                  <w:tcMar>
                    <w:top w:type="dxa" w:w="80"/>
                    <w:left w:type="dxa" w:w="120"/>
                    <w:bottom w:type="dxa" w:w="80"/>
                    <w:right w:type="dxa" w:w="80"/>
                  </w:tcMar>
                </w:tcPr>
                <w:p>
                  <w:r>
                    <w:rPr>
                      <w:rFonts w:ascii="Arial" w:cs="Arial" w:eastAsia="Arial" w:hAnsi="Arial"/>
                      <w:b/>
                      <w:bCs/>
                      <w:color w:val="004433"/>
                      <w:sz w:val="19"/>
                      <w:szCs w:val="19"/>
                    </w:rPr>
                    <w:t xml:space="preserve">✓  Une vision quotidienne automatisée et fiable de l'activité, livrée sans effort humain.</w:t>
                  </w:r>
                </w:p>
              </w:tc>
            </w:tr>
          </w:tbl>
          <w:p>
            <w:r>
              <w:rPr>
                <w:rFonts w:ascii="Arial" w:cs="Arial" w:eastAsia="Arial" w:hAnsi="Arial"/>
              </w:rPr>
              <w:t xml:space="preserve"/>
            </w:r>
          </w:p>
        </w:tc>
      </w:tr>
    </w:tbl>
    <w:p>
      <w:pPr>
        <w:spacing w:after="160"/>
      </w:pPr>
      <w:r>
        <w:rPr>
          <w:rFonts w:ascii="Arial" w:cs="Arial" w:eastAsia="Arial" w:hAnsi="Arial"/>
        </w:rPr>
        <w:t xml:space="preserve"/>
      </w:r>
    </w:p>
    <w:tbl>
      <w:tblPr>
        <w:tblW w:type="dxa" w:w="9026"/>
        <w:tblBorders>
          <w:top w:val="single" w:color="10263F" w:sz="4"/>
          <w:left w:val="single" w:color="10263F" w:sz="4"/>
          <w:bottom w:val="single" w:color="10263F" w:sz="4"/>
          <w:right w:val="single" w:color="10263F" w:sz="4"/>
          <w:insideH w:val="single" w:color="auto" w:sz="4"/>
          <w:insideV w:val="single" w:color="auto" w:sz="4"/>
        </w:tblBorders>
      </w:tblPr>
      <w:tblGrid>
        <w:gridCol w:w="9026"/>
      </w:tblGrid>
      <w:tr>
        <w:tc>
          <w:tcPr>
            <w:tcW w:type="dxa" w:w="9026"/>
            <w:shd w:fill="10263F" w:val="clear"/>
            <w:tcMar>
              <w:top w:type="dxa" w:w="220"/>
              <w:left w:type="dxa" w:w="260"/>
              <w:bottom w:type="dxa" w:w="220"/>
              <w:right w:type="dxa" w:w="260"/>
            </w:tcMar>
          </w:tcPr>
          <w:p>
            <w:pPr>
              <w:spacing w:after="140"/>
              <w:jc w:val="center"/>
            </w:pPr>
            <w:r>
              <w:rPr>
                <w:rFonts w:ascii="Arial" w:cs="Arial" w:eastAsia="Arial" w:hAnsi="Arial"/>
                <w:b/>
                <w:bCs/>
                <w:color w:val="FFFFFF"/>
                <w:sz w:val="26"/>
                <w:szCs w:val="26"/>
              </w:rPr>
              <w:t xml:space="preserve">Notre Positionnement</w:t>
            </w:r>
          </w:p>
          <w:p>
            <w:pPr>
              <w:spacing w:after="100"/>
              <w:jc w:val="center"/>
            </w:pPr>
            <w:r>
              <w:rPr>
                <w:rFonts w:ascii="Arial" w:cs="Arial" w:eastAsia="Arial" w:hAnsi="Arial"/>
                <w:color w:val="FFFFFF"/>
                <w:sz w:val="21"/>
                <w:szCs w:val="21"/>
              </w:rPr>
              <w:t xml:space="preserve">TransferAI Africa n'est pas un organisme de formation parmi d'autres.</w:t>
            </w:r>
          </w:p>
          <w:p>
            <w:pPr>
              <w:spacing w:after="100"/>
              <w:jc w:val="center"/>
            </w:pPr>
            <w:r>
              <w:rPr>
                <w:rFonts w:ascii="Arial" w:cs="Arial" w:eastAsia="Arial" w:hAnsi="Arial"/>
                <w:color w:val="FFFFFF"/>
                <w:sz w:val="21"/>
                <w:szCs w:val="21"/>
              </w:rPr>
              <w:t xml:space="preserve">Nous sommes avant tout 13 experts internationaux, dans divers secteurs d'activité, répartis sur 4 continents, qui mettent leur savoir-faire et leur expertise au service de la Côte d'Ivoire et de l'Afrique — c'est la raison pour laquelle nous avons implanté ici notre premier Hub.</w:t>
            </w:r>
          </w:p>
          <w:p>
            <w:pPr>
              <w:jc w:val="center"/>
            </w:pPr>
            <w:r>
              <w:rPr>
                <w:rFonts w:ascii="Arial" w:cs="Arial" w:eastAsia="Arial" w:hAnsi="Arial"/>
                <w:i/>
                <w:iCs/>
                <w:color w:val="FFFFFF"/>
                <w:sz w:val="21"/>
                <w:szCs w:val="21"/>
              </w:rPr>
              <w:t xml:space="preserve">Diagnostic réel, mise en pratique concrète, gouvernance intégrée et accompagnement dans la durée : c'est le hub IA de NettelecomCI en Côte d'Ivoire.</w:t>
            </w:r>
          </w:p>
        </w:tc>
      </w:tr>
    </w:tbl>
    <w:p>
      <w:pPr>
        <w:spacing w:after="60" w:before="220"/>
        <w:jc w:val="center"/>
      </w:pPr>
      <w:r>
        <w:rPr>
          <w:rFonts w:ascii="Arial" w:cs="Arial" w:eastAsia="Arial" w:hAnsi="Arial"/>
          <w:b/>
          <w:bCs/>
          <w:color w:val="10263F"/>
          <w:sz w:val="20"/>
          <w:szCs w:val="20"/>
        </w:rPr>
        <w:t xml:space="preserve">Audit IA Gratuit — </w:t>
      </w:r>
      <w:r>
        <w:rPr>
          <w:rFonts w:ascii="Arial" w:cs="Arial" w:eastAsia="Arial" w:hAnsi="Arial"/>
          <w:color w:val="222222"/>
          <w:sz w:val="20"/>
          <w:szCs w:val="20"/>
        </w:rPr>
        <w:t xml:space="preserve">Prenez rendez-vous : </w:t>
      </w:r>
      <w:r>
        <w:rPr>
          <w:rFonts w:ascii="Arial" w:cs="Arial" w:eastAsia="Arial" w:hAnsi="Arial"/>
          <w:b/>
          <w:bCs/>
          <w:color w:val="10263F"/>
          <w:sz w:val="20"/>
          <w:szCs w:val="20"/>
        </w:rPr>
        <w:t xml:space="preserve">calendly.com/contact-transferai/30min</w:t>
      </w:r>
    </w:p>
    <w:p>
      <w:pPr>
        <w:jc w:val="center"/>
      </w:pPr>
      <w:r>
        <w:rPr>
          <w:rFonts w:ascii="Arial" w:cs="Arial" w:eastAsia="Arial" w:hAnsi="Arial"/>
          <w:color w:val="555555"/>
          <w:sz w:val="19"/>
          <w:szCs w:val="19"/>
        </w:rPr>
        <w:t xml:space="preserve">contact@transferai.africa  |  www.transferai.ci</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2026-07-07T00:30:07.132Z</dcterms:created>
  <dcterms:modified xsi:type="dcterms:W3CDTF">2026-07-07T00:30:07.134Z</dcterms:modified>
</cp:coreProperties>
</file>

<file path=docProps/custom.xml><?xml version="1.0" encoding="utf-8"?>
<Properties xmlns="http://schemas.openxmlformats.org/officeDocument/2006/custom-properties" xmlns:vt="http://schemas.openxmlformats.org/officeDocument/2006/docPropsVTypes"/>
</file>