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b/>
          <w:bCs/>
          <w:color w:val="D66724"/>
          <w:sz w:val="20"/>
          <w:szCs w:val="20"/>
        </w:rPr>
        <w:t xml:space="preserve">MINI-CATALOGUE CIBLÉ</w:t>
      </w:r>
    </w:p>
    <w:p>
      <w:pPr>
        <w:spacing w:after="80"/>
      </w:pPr>
      <w:r>
        <w:rPr>
          <w:b/>
          <w:bCs/>
          <w:color w:val="10263F"/>
          <w:sz w:val="36"/>
          <w:szCs w:val="36"/>
        </w:rPr>
        <w:t xml:space="preserve">Proposition ciblée de formation et d'accompagnement IA pour ELTON Oil CI</w:t>
      </w:r>
    </w:p>
    <w:p>
      <w:pPr>
        <w:spacing w:after="300"/>
      </w:pPr>
      <w:r>
        <w:rPr>
          <w:i/>
          <w:iCs/>
          <w:color w:val="516072"/>
          <w:sz w:val="22"/>
          <w:szCs w:val="22"/>
        </w:rPr>
        <w:t xml:space="preserve">Comptes professionnels, flotte, opérations et relation client — ELTON OIL COMPANY Côte d'Ivoire</w:t>
      </w:r>
    </w:p>
    <w:p>
      <w:pPr>
        <w:pStyle w:val="Heading1"/>
      </w:pPr>
      <w:r>
        <w:t xml:space="preserve">1. Synthèse exécutive</w:t>
      </w:r>
    </w:p>
    <w:p>
      <w:pPr>
        <w:spacing w:after="120"/>
      </w:pPr>
      <w:r>
        <w:t xml:space="preserve">ELTON Oil CI cherche à mieux piloter ses comptes professionnels, sa flotte et sa relation client, tout en professionnalisant ses équipes. TransferAI Africa propose une démarche de service : un audit pour qualifier les priorités, une formation ciblée des dirigeants et des équipes, puis un accompagnement de mise en pratique sur 90 jours.</w:t>
      </w:r>
    </w:p>
    <w:p>
      <w:pPr>
        <w:spacing w:after="120"/>
      </w:pPr>
      <w:r>
        <w:t xml:space="preserve">Contrairement à une formation ponctuelle qui transmet un contenu et s'arrête là, TransferAI reste engagé après la salle de formation : relecture des premiers usages, ajustement des outils, gouvernance et décision d'extension.</w:t>
      </w:r>
    </w:p>
    <w:p>
      <w:pPr>
        <w:pStyle w:val="Heading1"/>
      </w:pPr>
      <w:r>
        <w:t xml:space="preserve">2. Lecture du contexte du prospect</w:t>
      </w:r>
    </w:p>
    <w:p>
      <w:pPr>
        <w:spacing w:after="120"/>
      </w:pPr>
      <w:r>
        <w:t xml:space="preserve">ELTON opère avec des activités multi-services visibles publiquement : carte OASIS, offres professionnelles et gestion de flotte, espace auto (entretien, lubrification, suivi analytique), e-services (paiements, transferts, assurance), et une base de comptes clients à piloter au quotidien.</w:t>
      </w:r>
    </w:p>
    <w:p>
      <w:pPr>
        <w:spacing w:after="120"/>
      </w:pPr>
      <w:r>
        <w:t xml:space="preserve">Les fonctions les plus concernées par une meilleure exploitation de l'IA sont, à ce stade et sous réserve de confirmation lors de l'audit : les comptes professionnels et le recouvrement, la flotte et les cartes carburant, l'espace auto et la maintenance, ainsi que la relation client.</w:t>
      </w:r>
    </w:p>
    <w:p>
      <w:pPr>
        <w:spacing w:after="120"/>
      </w:pPr>
      <w:r>
        <w:t xml:space="preserve">Le sujet mérite d'être traité maintenant parce que la dispersion de l'information entre ces activités multi-sites freine déjà la fluidité commerciale et le suivi administratif.</w:t>
      </w:r>
    </w:p>
    <w:p>
      <w:pPr>
        <w:pStyle w:val="Heading1"/>
      </w:pPr>
      <w:r>
        <w:t xml:space="preserve">3. Priorités métier et irritants visibles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Suivi des comptes clients, échéances et recouvrement consommateur de temps, avec un risque de retard sur les dossiers sensibles.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Données de flotte et de cartes carburant peu exploitées pour anticiper les anomalies ou cibler les actions commerciales.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Rappels d'entretien et suivi des échéances de maintenance dispersés entre stations et espaces auto.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Demandes clients récurrentes (carte, paiement, service) traitées de façon hétérogène selon les canaux.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Procédures et bonnes pratiques difficiles à diffuser de façon homogène sur une organisation multi-sites.</w:t>
      </w:r>
    </w:p>
    <w:p>
      <w:pPr>
        <w:pStyle w:val="Heading1"/>
      </w:pPr>
      <w:r>
        <w:t xml:space="preserve">4. Cas d'usage et quick wins recommandés</w:t>
      </w:r>
    </w:p>
    <w:p>
      <w:pPr>
        <w:spacing w:after="120"/>
      </w:pPr>
      <w:r>
        <w:t xml:space="preserve">Ces cas d'usage restent des hypothèses de travail à confirmer et prioriser lors de l'audit, construits à partir des activités visibles sur les canaux publics d'ELTON.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Comptes professionnels et recouvrement (cas d'usage phare)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Suivi manuel des comptes clients, relances et échéances consommateur de temps.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Synthèses automatiques des comptes clients, assistant de recouvrement et préparation assistée des comités crédit.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Délai de relance ; taux de recouvrement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Flotte et cartes carburant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Consommations et anomalies difficiles à suivre à l'échelle de la flotte professionnelle.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Cockpit de pilotage flotte et cartes carburant avec alertes intelligentes sur les comptes à surveiller.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Anomalies détectées tôt ; consommation mieux pilotée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Espace Auto et maintenance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Rappels d'entretien et suivi des échéances dispersés entre stations et espaces auto.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Moteur de rappels automatisé et tableaux de bord de services auto pour relancer les clients au bon moment.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Taux de reprise de rendez-vous ; délai de rappel</w:t>
      </w:r>
    </w:p>
    <w:p>
      <w:pPr>
        <w:spacing w:after="60" w:before="160"/>
      </w:pPr>
      <w:r>
        <w:rPr>
          <w:b/>
          <w:bCs/>
          <w:color w:val="10263F"/>
          <w:sz w:val="22"/>
          <w:szCs w:val="22"/>
        </w:rPr>
        <w:t xml:space="preserve">Relation client augmentée</w:t>
      </w:r>
    </w:p>
    <w:p>
      <w:pPr>
        <w:spacing w:after="40"/>
      </w:pPr>
      <w:r>
        <w:rPr>
          <w:b/>
          <w:bCs/>
          <w:color w:val="8A5A00"/>
        </w:rPr>
        <w:t xml:space="preserve">Avant : </w:t>
      </w:r>
      <w:r>
        <w:t xml:space="preserve">Demandes récurrentes sur la carte, les paiements et le service saturant les équipes.</w:t>
      </w:r>
    </w:p>
    <w:p>
      <w:pPr>
        <w:spacing w:after="40"/>
      </w:pPr>
      <w:r>
        <w:rPr>
          <w:b/>
          <w:bCs/>
          <w:color w:val="2FB67E"/>
        </w:rPr>
        <w:t xml:space="preserve">Après : </w:t>
      </w:r>
      <w:r>
        <w:t xml:space="preserve">Assistant de réponse encadré et base de connaissance interne pour homogénéiser le service.</w:t>
      </w:r>
    </w:p>
    <w:p>
      <w:pPr>
        <w:spacing w:after="120"/>
      </w:pPr>
      <w:r>
        <w:rPr>
          <w:b/>
          <w:bCs/>
          <w:color w:val="516072"/>
        </w:rPr>
        <w:t xml:space="preserve">KPI à suivre : </w:t>
      </w:r>
      <w:r>
        <w:rPr>
          <w:i/>
          <w:iCs/>
        </w:rPr>
        <w:t xml:space="preserve">Temps de réponse ; taux de résolution premier niveau</w:t>
      </w:r>
    </w:p>
    <w:p>
      <w:pPr>
        <w:pStyle w:val="Heading1"/>
      </w:pPr>
      <w:r>
        <w:t xml:space="preserve">5. Porte d'entrée recommandée</w:t>
      </w:r>
    </w:p>
    <w:p>
      <w:pPr>
        <w:spacing w:after="120"/>
      </w:pPr>
      <w:r>
        <w:t xml:space="preserve">Un audit IA gratuit centré sur les comptes professionnels, la flotte et la performance commerciale, suivi d'un échange expert de 45 minutes avec le Directeur Général ou son représentant.</w:t>
      </w:r>
    </w:p>
    <w:p>
      <w:pPr>
        <w:pStyle w:val="Heading1"/>
      </w:pPr>
      <w:r>
        <w:t xml:space="preserve">6. Parcours recommandé</w:t>
      </w:r>
    </w:p>
    <w:p>
      <w:pPr>
        <w:spacing w:after="60"/>
      </w:pPr>
      <w:r>
        <w:rPr>
          <w:b/>
          <w:bCs/>
        </w:rPr>
        <w:t xml:space="preserve">J+0 — Audit, cadrage et priorisation : </w:t>
      </w:r>
      <w:r>
        <w:t xml:space="preserve">identifier les flux prioritaires (comptes, flotte, service) et les équipes à mobiliser.</w:t>
      </w:r>
    </w:p>
    <w:p>
      <w:pPr>
        <w:spacing w:after="60"/>
      </w:pPr>
      <w:r>
        <w:rPr>
          <w:b/>
          <w:bCs/>
        </w:rPr>
        <w:t xml:space="preserve">J+15 — Premier livrable utile : </w:t>
      </w:r>
      <w:r>
        <w:t xml:space="preserve">produire un premier kit de suivi de comptes ou un cockpit flotte sur des données réelles d'ELTON.</w:t>
      </w:r>
    </w:p>
    <w:p>
      <w:pPr>
        <w:spacing w:after="60"/>
      </w:pPr>
      <w:r>
        <w:rPr>
          <w:b/>
          <w:bCs/>
        </w:rPr>
        <w:t xml:space="preserve">J+45 — Formation ciblée et pilote : </w:t>
      </w:r>
      <w:r>
        <w:t xml:space="preserve">former les équipes retenues et lancer le premier terrain d'exécution, sous supervision humaine.</w:t>
      </w:r>
    </w:p>
    <w:p>
      <w:pPr>
        <w:spacing w:after="200"/>
      </w:pPr>
      <w:r>
        <w:rPr>
          <w:b/>
          <w:bCs/>
        </w:rPr>
        <w:t xml:space="preserve">J+90 — Mesure, gouvernance et extension : </w:t>
      </w:r>
      <w:r>
        <w:t xml:space="preserve">relire les premiers KPI, ajuster les usages et décider de l'extension, du recentrage ou de la montée en charge.</w:t>
      </w:r>
    </w:p>
    <w:p>
      <w:pPr>
        <w:pStyle w:val="Heading1"/>
      </w:pPr>
      <w:r>
        <w:t xml:space="preserve">7. Formations prioritaires</w:t>
      </w:r>
    </w:p>
    <w:p>
      <w:pPr>
        <w:spacing w:after="120"/>
      </w:pPr>
      <w:r>
        <w:t xml:space="preserve">Sélection resserrée à huit formations, regroupées en quatre familles métier — reprenant la sélection déjà validée dans le deck de présentation ELTON.</w:t>
      </w:r>
    </w:p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DIRECTION ET MANAGEMENT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IA pour Dirigeants : Vision et Stratégie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comité de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Donner une lecture claire des usages, limites et conditions de réussite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Grille de lecture des priorités ; cadre de gouvernance proposé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 à 1 demi-journée, à confirmer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Assure l'alignement de la direction avant le déploiement des usages métier.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Prise de Décision Stratégique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Direction générale, managers de pôle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Structurer des notes de décision et synthèses exécutives plus rapides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notes de décision ; grille de priorisation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au besoin de lisibilité des priorités pour un DG multi-activités.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FINANCE ET PILOTAGE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Reporting Financier Automatisé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Finance, comptables chargés de comptes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Accélérer la préparation des synthèses de comptes et des revues de portefeuille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Disposer d'exemples de reporting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synthèse de comptes ; checklist de revue de portefeuille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directement à l'irritant « comptes professionnels et recouvrement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Comptabilité Automatisée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Finance, comptabilité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Fluidifier le suivi des encaissements, échéances et balances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процé procédures comptables existantes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Checklist de suivi des échéances ; modèles de relance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Accélère le recouvrement et la préparation des comités crédit.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OPÉRATIONS ET RELATION CLIENT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Gestion de Flotte et Logistique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Flotte, opérations terrain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Mieux exploiter les données de flotte et de cartes carburant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processus de suivi flotte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Cockpit type ; checklist d'alerte anomalies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directement à l'irritant « flotte et cartes carburant ».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CRM Intelligent et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client, réseau, espace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Homogénéiser les réponses clients et le suivi des rappels d'entretien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scripts et procédures de service existants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de réponses type ; scripts encadrés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Répond aux irritants « espace auto » et « relation client ».</w:t>
            </w:r>
          </w:p>
        </w:tc>
      </w:tr>
    </w:tbl>
    <w:p/>
    <w:p>
      <w:pPr>
        <w:spacing w:after="40"/>
      </w:pPr>
      <w:r>
        <w:rPr>
          <w:b/>
          <w:bCs/>
          <w:color w:val="D66724"/>
          <w:sz w:val="18"/>
          <w:szCs w:val="18"/>
        </w:rPr>
        <w:t xml:space="preserve">FAMILLE — TRANSFORMATION ET CONFORMITÉ</w:t>
      </w:r>
    </w:p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Optimisation des Processus Métier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Fonctions support,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Diffuser plus simplement procédures et standards sur une organisation multi-sites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Connaître les processus concernés ; 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Trames de procédures type ; checklist d'harmonisation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Réduit la dépendance à quelques experts et homogénéise les pratiques.</w:t>
            </w:r>
          </w:p>
        </w:tc>
      </w:tr>
    </w:tbl>
    <w:p/>
    <w:p>
      <w:pPr>
        <w:spacing w:after="80" w:before="200"/>
      </w:pPr>
      <w:r>
        <w:rPr>
          <w:b/>
          <w:bCs/>
          <w:color w:val="10263F"/>
          <w:sz w:val="22"/>
          <w:szCs w:val="22"/>
        </w:rPr>
        <w:t xml:space="preserve">RGPD et Protection des Données avec l'IA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Public concerné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IT, juridique,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Cadrer la gouvernance des données clients avant toute exposition à un outil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Prérequis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prérequis technique avancé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Politique d'usage IA ; cartographie des données sensibles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 / durée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à confirmer selon le périmètre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c'est utile pour ELTON Oil CI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Sécurise l'usage de données clients et commerciales sensibles.</w:t>
            </w:r>
          </w:p>
        </w:tc>
      </w:tr>
    </w:tbl>
    <w:p/>
    <w:p>
      <w:pPr>
        <w:pStyle w:val="Heading1"/>
      </w:pPr>
      <w:r>
        <w:t xml:space="preserve">8.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de priorités et séquence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kit de suivi de comptes ou cockpit flotte calibré sur des données réelles d'ELTON.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de formation contextualisés aux comptes, à la flotte et à la relation client d'ELTON.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Trames, prompts, checklists réutilisables (relance, suivi flotte, rappels d'entretien).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 de route d'exécution sur 90 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de revue d'usage et d'adoption.</w:t>
      </w:r>
    </w:p>
    <w:p>
      <w:pPr>
        <w:pStyle w:val="Heading1"/>
      </w:pPr>
      <w:r>
        <w:t xml:space="preserve">9. Gouvernance, confidentialité et conduite du changement</w:t>
      </w:r>
    </w:p>
    <w:p>
      <w:pPr>
        <w:spacing w:after="120"/>
      </w:pPr>
      <w:r>
        <w:t xml:space="preserve">Compte tenu des données clients, commerciales et financières manipulées par ELTON, ce volet est non négociable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données clients, commerciales et financières restent sous supervision humaine systématique.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recommandation de recouvrement ou d'alerte flotte générée par l'IA fait l'objet d'une revue humaine avant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progression se fait par pilote encadré avant toute extension à d'autres périmètres.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cadre d'usage est documenté et validé par les responsables métier identifiés (comptes, flotte, service client).</w:t>
      </w:r>
    </w:p>
    <w:p>
      <w:pPr>
        <w:pStyle w:val="Heading1"/>
      </w:pPr>
      <w:r>
        <w:t xml:space="preserve">10. Accompagnement post-formation</w:t>
      </w:r>
    </w:p>
    <w:p>
      <w:pPr>
        <w:spacing w:after="120"/>
      </w:pPr>
      <w:r>
        <w:t xml:space="preserve">L'accompagnement TransferAI ne s'arrête pas à la salle de formation. Les personnes et équipes formées gardent un accès gratuit à la communauté TransferAI, où elles peuvent partager des cas réels, poser des questions d'exécution et recevoir des conseils pratiques. Cet accompagnement aide à transformer la formation en usage concret, puis en preuve d'impact.</w:t>
      </w:r>
    </w:p>
    <w:p>
      <w:pPr>
        <w:pStyle w:val="Heading1"/>
      </w:pPr>
      <w:r>
        <w:t xml:space="preserve">11. Accompagnement 90 jours</w:t>
      </w:r>
    </w:p>
    <w:p>
      <w:pPr>
        <w:spacing w:after="120"/>
      </w:pPr>
      <w:r>
        <w:t xml:space="preserve">Après la formation, TransferAI reste engagé pendant 90 jours pour consolider les usages, répondre aux blocages et sécuriser l'adoption : points de suivi réguliers, permanence questions/réponses, revue des premiers cas traités, ajustement des trames et prompts, lecture des premiers KPI, puis arbitrage sur la suite entre pilote, extension ou réajustement.</w:t>
      </w:r>
    </w:p>
    <w:p>
      <w:pPr>
        <w:spacing w:after="120"/>
      </w:pPr>
      <w:r>
        <w:rPr>
          <w:i/>
          <w:iCs/>
          <w:color w:val="516072"/>
        </w:rPr>
        <w:t xml:space="preserve">Une structure de formation classique transmet un contenu. TransferAI forme, puis accompagne l'usage, la mise en pratique, la gouvernance et la montée en impact.</w:t>
      </w:r>
    </w:p>
    <w:p>
      <w:pPr>
        <w:pStyle w:val="Heading1"/>
      </w:pPr>
      <w:r>
        <w:t xml:space="preserve">12. Proposition immédiate</w:t>
      </w:r>
    </w:p>
    <w:p>
      <w:pPr>
        <w:spacing w:after="120"/>
      </w:pPr>
      <w:r>
        <w:t xml:space="preserve">Planifier un audit IA gratuit centré sur les comptes professionnels, la flotte et la performance commerciale, suivi d'un échange expert de 45 minutes.</w:t>
      </w:r>
    </w:p>
    <w:p>
      <w:pPr>
        <w:pBdr>
          <w:top w:val="single" w:color="D9D3CC" w:sz="6" w:space="4"/>
        </w:pBdr>
        <w:spacing w:after="100" w:before="400"/>
      </w:pPr>
      <w:r>
        <w:t xml:space="preserve"/>
      </w:r>
    </w:p>
    <w:p>
      <w:pPr>
        <w:spacing w:after="20"/>
      </w:pPr>
      <w:r>
        <w:rPr>
          <w:b/>
          <w:bCs/>
          <w:color w:val="10263F"/>
        </w:rPr>
        <w:t xml:space="preserve">Soulemane Konate</w:t>
      </w:r>
    </w:p>
    <w:p>
      <w:pPr>
        <w:spacing w:after="120"/>
      </w:pPr>
      <w:r>
        <w:rPr>
          <w:color w:val="516072"/>
          <w:sz w:val="18"/>
          <w:szCs w:val="18"/>
        </w:rPr>
        <w:t xml:space="preserve">Directeur IA &amp; Innovation</w:t>
      </w:r>
    </w:p>
    <w:p>
      <w:pPr>
        <w:spacing w:after="20"/>
      </w:pPr>
      <w:r>
        <w:rPr>
          <w:b/>
          <w:bCs/>
          <w:color w:val="10263F"/>
        </w:rPr>
        <w:t xml:space="preserve">Medard Sery</w:t>
      </w:r>
    </w:p>
    <w:p>
      <w:pPr>
        <w:spacing w:after="20"/>
      </w:pPr>
      <w:r>
        <w:rPr>
          <w:color w:val="516072"/>
          <w:sz w:val="18"/>
          <w:szCs w:val="18"/>
        </w:rPr>
        <w:t xml:space="preserve">Consultant expert · Data engineering, cloud &amp; plateformes IA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C" w:sz="4" w:space="4"/>
      </w:pBdr>
    </w:pPr>
    <w:r>
      <w:rPr>
        <w:color w:val="516072"/>
        <w:sz w:val="14"/>
        <w:szCs w:val="14"/>
      </w:rPr>
      <w:t xml:space="preserve">TransferAI | Hub IA de Nettelecom CI | contact@transferai.ci | www.transferai.ci | +225 07 16 57 39 90 | Riviera 3, carrefour Sainte Famille, Abidjan</w:t>
    </w:r>
  </w:p>
  <w:p>
    <w:pPr>
      <w:jc w:val="right"/>
    </w:pPr>
    <w:r>
      <w:rPr>
        <w:color w:val="516072"/>
        <w:sz w:val="14"/>
        <w:szCs w:val="14"/>
      </w:rPr>
      <w:t xml:space="preserve">Page </w:t>
    </w:r>
    <w:r>
      <w:rPr>
        <w:color w:val="5160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076325" cy="476250"/>
          <wp:effectExtent t="0" r="0" b="0" l="0"/>
          <wp:docPr id="1" name="logo" descr="Logo" title="TransferAI x Nettele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672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D667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4d76f78d87d9c09756a902a6ee31e79f967c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2026-07-07T19:42:55.420Z</dcterms:created>
  <dcterms:modified xsi:type="dcterms:W3CDTF">2026-07-07T19:42:55.420Z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