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76" w:lineRule="auto"/>
        <w:jc w:val="left"/>
      </w:pPr>
      <w:r>
        <w:drawing>
          <wp:inline xmlns:a="http://schemas.openxmlformats.org/drawingml/2006/main" xmlns:pic="http://schemas.openxmlformats.org/drawingml/2006/picture">
            <wp:extent cx="2103120" cy="995680"/>
            <wp:docPr id="1" name="Picture 1"/>
            <wp:cNvGraphicFramePr>
              <a:graphicFrameLocks noChangeAspect="1"/>
            </wp:cNvGraphicFramePr>
            <a:graphic>
              <a:graphicData uri="http://schemas.openxmlformats.org/drawingml/2006/picture">
                <pic:pic>
                  <pic:nvPicPr>
                    <pic:cNvPr id="0" name="transferai-africa-nettelecom-co-brand.png"/>
                    <pic:cNvPicPr/>
                  </pic:nvPicPr>
                  <pic:blipFill>
                    <a:blip r:embed="rId10"/>
                    <a:stretch>
                      <a:fillRect/>
                    </a:stretch>
                  </pic:blipFill>
                  <pic:spPr>
                    <a:xfrm>
                      <a:off x="0" y="0"/>
                      <a:ext cx="2103120" cy="995680"/>
                    </a:xfrm>
                    <a:prstGeom prst="rect"/>
                  </pic:spPr>
                </pic:pic>
              </a:graphicData>
            </a:graphic>
          </wp:inline>
        </w:drawing>
      </w:r>
    </w:p>
    <w:p>
      <w:pPr>
        <w:spacing w:after="80" w:before="0" w:line="276" w:lineRule="auto"/>
        <w:jc w:val="center"/>
      </w:pPr>
      <w:r>
        <w:rPr>
          <w:rFonts w:ascii="Arial" w:hAnsi="Arial"/>
          <w:b/>
          <w:i w:val="0"/>
          <w:color w:val="163556"/>
          <w:sz w:val="46"/>
        </w:rPr>
        <w:t>Guide utilisateur du workflow de pré-clôture bancaire dans n8n</w:t>
      </w:r>
    </w:p>
    <w:p>
      <w:pPr>
        <w:spacing w:after="320" w:before="0" w:line="276" w:lineRule="auto"/>
        <w:jc w:val="center"/>
      </w:pPr>
      <w:r>
        <w:rPr>
          <w:rFonts w:ascii="Arial" w:hAnsi="Arial"/>
          <w:b w:val="0"/>
          <w:i w:val="0"/>
          <w:color w:val="5A5A5A"/>
          <w:sz w:val="24"/>
        </w:rPr>
        <w:t>Cas d’usage concret, paramétrage, tests et mise en production pour une banque opérant en Côte d’Ivoire</w:t>
      </w:r>
    </w:p>
    <w:tbl>
      <w:tblPr>
        <w:tblW w:type="auto" w:w="0"/>
        <w:jc w:val="center"/>
        <w:tblLayout w:type="fixed"/>
        <w:tblLook w:firstColumn="1" w:firstRow="1" w:lastColumn="0" w:lastRow="0" w:noHBand="0" w:noVBand="1" w:val="04A0"/>
      </w:tblPr>
      <w:tblGrid>
        <w:gridCol w:w="4680"/>
        <w:gridCol w:w="4680"/>
      </w:tblGrid>
      <w:tr>
        <w:tc>
          <w:tcPr>
            <w:tcW w:type="dxa" w:w="2304"/>
            <w:vAlign w:val="center"/>
            <w:shd w:fill="EDEDED"/>
          </w:tcPr>
          <w:p>
            <w:pPr>
              <w:spacing w:after="60" w:before="60" w:line="276" w:lineRule="auto"/>
              <w:jc w:val="left"/>
            </w:pPr>
            <w:r>
              <w:rPr>
                <w:rFonts w:ascii="Arial" w:hAnsi="Arial"/>
                <w:b/>
                <w:i w:val="0"/>
                <w:color w:val="222222"/>
                <w:sz w:val="21"/>
              </w:rPr>
              <w:t>Document</w:t>
            </w:r>
          </w:p>
        </w:tc>
        <w:tc>
          <w:tcPr>
            <w:tcW w:type="dxa" w:w="6480"/>
            <w:vAlign w:val="center"/>
          </w:tcPr>
          <w:p>
            <w:pPr>
              <w:spacing w:after="60" w:before="60" w:line="276" w:lineRule="auto"/>
              <w:jc w:val="left"/>
            </w:pPr>
            <w:r>
              <w:rPr>
                <w:rFonts w:ascii="Arial" w:hAnsi="Arial"/>
                <w:b w:val="0"/>
                <w:i w:val="0"/>
                <w:color w:val="222222"/>
                <w:sz w:val="21"/>
              </w:rPr>
              <w:t>Guide utilisateur de mise en place du workflow n8n</w:t>
            </w:r>
          </w:p>
        </w:tc>
      </w:tr>
      <w:tr>
        <w:tc>
          <w:tcPr>
            <w:tcW w:type="dxa" w:w="2304"/>
            <w:vAlign w:val="center"/>
            <w:shd w:fill="EDEDED"/>
          </w:tcPr>
          <w:p>
            <w:pPr>
              <w:spacing w:after="60" w:before="60" w:line="276" w:lineRule="auto"/>
              <w:jc w:val="left"/>
            </w:pPr>
            <w:r>
              <w:rPr>
                <w:rFonts w:ascii="Arial" w:hAnsi="Arial"/>
                <w:b/>
                <w:i w:val="0"/>
                <w:color w:val="222222"/>
                <w:sz w:val="21"/>
              </w:rPr>
              <w:t>Fichier n8n</w:t>
            </w:r>
          </w:p>
        </w:tc>
        <w:tc>
          <w:tcPr>
            <w:tcW w:type="dxa" w:w="6480"/>
            <w:vAlign w:val="center"/>
          </w:tcPr>
          <w:p>
            <w:pPr>
              <w:spacing w:after="60" w:before="60" w:line="276" w:lineRule="auto"/>
              <w:jc w:val="left"/>
            </w:pPr>
            <w:r>
              <w:rPr>
                <w:rFonts w:ascii="Arial" w:hAnsi="Arial"/>
                <w:b w:val="0"/>
                <w:i w:val="0"/>
                <w:color w:val="222222"/>
                <w:sz w:val="21"/>
              </w:rPr>
              <w:t>workflow_precloture_bancaire_multibanques_n8n.json</w:t>
            </w:r>
          </w:p>
        </w:tc>
      </w:tr>
      <w:tr>
        <w:tc>
          <w:tcPr>
            <w:tcW w:type="dxa" w:w="2304"/>
            <w:vAlign w:val="center"/>
            <w:shd w:fill="EDEDED"/>
          </w:tcPr>
          <w:p>
            <w:pPr>
              <w:spacing w:after="60" w:before="60" w:line="276" w:lineRule="auto"/>
              <w:jc w:val="left"/>
            </w:pPr>
            <w:r>
              <w:rPr>
                <w:rFonts w:ascii="Arial" w:hAnsi="Arial"/>
                <w:b/>
                <w:i w:val="0"/>
                <w:color w:val="222222"/>
                <w:sz w:val="21"/>
              </w:rPr>
              <w:t>Public visé</w:t>
            </w:r>
          </w:p>
        </w:tc>
        <w:tc>
          <w:tcPr>
            <w:tcW w:type="dxa" w:w="6480"/>
            <w:vAlign w:val="center"/>
          </w:tcPr>
          <w:p>
            <w:pPr>
              <w:spacing w:after="60" w:before="60" w:line="276" w:lineRule="auto"/>
              <w:jc w:val="left"/>
            </w:pPr>
            <w:r>
              <w:rPr>
                <w:rFonts w:ascii="Arial" w:hAnsi="Arial"/>
                <w:b w:val="0"/>
                <w:i w:val="0"/>
                <w:color w:val="222222"/>
                <w:sz w:val="21"/>
              </w:rPr>
              <w:t>Équipes finance, contrôle financier, audit interne et administrateurs n8n</w:t>
            </w:r>
          </w:p>
        </w:tc>
      </w:tr>
    </w:tbl>
    <w:p/>
    <w:p>
      <w:pPr>
        <w:spacing w:after="120" w:before="320" w:line="276" w:lineRule="auto"/>
        <w:jc w:val="left"/>
      </w:pPr>
      <w:r>
        <w:rPr>
          <w:rFonts w:ascii="Arial" w:hAnsi="Arial"/>
          <w:b/>
          <w:i w:val="0"/>
          <w:color w:val="163556"/>
          <w:sz w:val="32"/>
        </w:rPr>
        <w:t>1. Objet du document</w:t>
      </w:r>
    </w:p>
    <w:p>
      <w:pPr>
        <w:spacing w:after="120" w:before="0" w:line="276" w:lineRule="auto"/>
        <w:jc w:val="left"/>
      </w:pPr>
      <w:r>
        <w:rPr>
          <w:rFonts w:ascii="Arial" w:hAnsi="Arial"/>
          <w:b w:val="0"/>
          <w:i w:val="0"/>
          <w:color w:val="222222"/>
          <w:sz w:val="22"/>
        </w:rPr>
        <w:t>Ce document explique comment déployer, paramétrer et exploiter un workflow n8n de pré-clôture bancaire à partir d’un fichier JSON exportable. Il est rédigé pour un client francophone et peut être utilisé par toute banque opérant en Côte d’Ivoire.</w:t>
      </w:r>
    </w:p>
    <w:p>
      <w:pPr>
        <w:spacing w:after="120" w:before="0" w:line="276" w:lineRule="auto"/>
        <w:jc w:val="left"/>
      </w:pPr>
      <w:r>
        <w:rPr>
          <w:rFonts w:ascii="Arial" w:hAnsi="Arial"/>
          <w:b w:val="0"/>
          <w:i w:val="0"/>
          <w:color w:val="222222"/>
          <w:sz w:val="22"/>
        </w:rPr>
        <w:t>Le workflow de référence est fourni dans le fichier suivant : workflow_precloture_bancaire_multibanques_n8n.json.</w:t>
      </w:r>
    </w:p>
    <w:p>
      <w:pPr>
        <w:spacing w:after="120" w:before="320" w:line="276" w:lineRule="auto"/>
        <w:jc w:val="left"/>
      </w:pPr>
      <w:r>
        <w:rPr>
          <w:rFonts w:ascii="Arial" w:hAnsi="Arial"/>
          <w:b/>
          <w:i w:val="0"/>
          <w:color w:val="163556"/>
          <w:sz w:val="32"/>
        </w:rPr>
        <w:t>2. Cas d’usage concret</w:t>
      </w:r>
    </w:p>
    <w:p>
      <w:pPr>
        <w:spacing w:after="120" w:before="0" w:line="276" w:lineRule="auto"/>
        <w:jc w:val="left"/>
      </w:pPr>
      <w:r>
        <w:rPr>
          <w:rFonts w:ascii="Arial" w:hAnsi="Arial"/>
          <w:b w:val="0"/>
          <w:i w:val="0"/>
          <w:color w:val="222222"/>
          <w:sz w:val="22"/>
        </w:rPr>
        <w:t>À chaque fin de semaine ou fin de mois, la direction financière d’une banque doit analyser un export comptable ou une balance de pré-clôture avant validation. Cette étape est souvent ralentie par des contrôles manuels, des écarts détectés trop tard et des commentaires produits de manière hétérogène selon les équipes.</w:t>
      </w:r>
    </w:p>
    <w:p>
      <w:pPr>
        <w:spacing w:after="120" w:before="0" w:line="276" w:lineRule="auto"/>
        <w:jc w:val="left"/>
      </w:pPr>
      <w:r>
        <w:rPr>
          <w:rFonts w:ascii="Arial" w:hAnsi="Arial"/>
          <w:b w:val="0"/>
          <w:i w:val="0"/>
          <w:color w:val="222222"/>
          <w:sz w:val="22"/>
        </w:rPr>
        <w:t>Le workflow proposé automatise la lecture du fichier, détecte les variations significatives, signale les justificatifs manquants et génère une synthèse managériale en français. Un responsable valide ensuite cette synthèse avant sa diffusion au contrôle financier, à la comptabilité, à l’audit interne ou au comité concerné.</w:t>
      </w:r>
    </w:p>
    <w:p>
      <w:pPr>
        <w:spacing w:after="120" w:before="200" w:line="276" w:lineRule="auto"/>
        <w:jc w:val="left"/>
      </w:pPr>
      <w:r>
        <w:rPr>
          <w:rFonts w:ascii="Arial" w:hAnsi="Arial"/>
          <w:b/>
          <w:i w:val="0"/>
          <w:color w:val="163556"/>
          <w:sz w:val="26"/>
        </w:rPr>
        <w:t>3. Résultat attendu</w:t>
      </w:r>
    </w:p>
    <w:p>
      <w:pPr>
        <w:pStyle w:val="ListBullet"/>
        <w:spacing w:after="80" w:before="0" w:line="276" w:lineRule="auto"/>
        <w:jc w:val="left"/>
      </w:pPr>
      <w:r>
        <w:rPr>
          <w:rFonts w:ascii="Arial" w:hAnsi="Arial"/>
          <w:b w:val="0"/>
          <w:i w:val="0"/>
          <w:color w:val="222222"/>
          <w:sz w:val="22"/>
        </w:rPr>
        <w:t>Réduire le temps de préparation de la pré-clôture.</w:t>
      </w:r>
    </w:p>
    <w:p>
      <w:pPr>
        <w:pStyle w:val="ListBullet"/>
        <w:spacing w:after="80" w:before="0" w:line="276" w:lineRule="auto"/>
        <w:jc w:val="left"/>
      </w:pPr>
      <w:r>
        <w:rPr>
          <w:rFonts w:ascii="Arial" w:hAnsi="Arial"/>
          <w:b w:val="0"/>
          <w:i w:val="0"/>
          <w:color w:val="222222"/>
          <w:sz w:val="22"/>
        </w:rPr>
        <w:t>Détecter plus tôt les anomalies, écarts et exceptions.</w:t>
      </w:r>
    </w:p>
    <w:p>
      <w:pPr>
        <w:pStyle w:val="ListBullet"/>
        <w:spacing w:after="80" w:before="0" w:line="276" w:lineRule="auto"/>
        <w:jc w:val="left"/>
      </w:pPr>
      <w:r>
        <w:rPr>
          <w:rFonts w:ascii="Arial" w:hAnsi="Arial"/>
          <w:b w:val="0"/>
          <w:i w:val="0"/>
          <w:color w:val="222222"/>
          <w:sz w:val="22"/>
        </w:rPr>
        <w:t>Homogénéiser la qualité des notes de synthèse.</w:t>
      </w:r>
    </w:p>
    <w:p>
      <w:pPr>
        <w:pStyle w:val="ListBullet"/>
        <w:spacing w:after="80" w:before="0" w:line="276" w:lineRule="auto"/>
        <w:jc w:val="left"/>
      </w:pPr>
      <w:r>
        <w:rPr>
          <w:rFonts w:ascii="Arial" w:hAnsi="Arial"/>
          <w:b w:val="0"/>
          <w:i w:val="0"/>
          <w:color w:val="222222"/>
          <w:sz w:val="22"/>
        </w:rPr>
        <w:t>Maintenir une validation humaine avant tout usage officiel.</w:t>
      </w:r>
    </w:p>
    <w:p>
      <w:pPr>
        <w:spacing w:after="120" w:before="320" w:line="276" w:lineRule="auto"/>
        <w:jc w:val="left"/>
      </w:pPr>
      <w:r>
        <w:rPr>
          <w:rFonts w:ascii="Arial" w:hAnsi="Arial"/>
          <w:b/>
          <w:i w:val="0"/>
          <w:color w:val="163556"/>
          <w:sz w:val="32"/>
        </w:rPr>
        <w:t>4. Contenu du workflow n8n</w:t>
      </w:r>
    </w:p>
    <w:p>
      <w:pPr>
        <w:spacing w:after="120" w:before="0" w:line="276" w:lineRule="auto"/>
        <w:jc w:val="left"/>
      </w:pPr>
      <w:r>
        <w:rPr>
          <w:rFonts w:ascii="Arial" w:hAnsi="Arial"/>
          <w:b w:val="0"/>
          <w:i w:val="0"/>
          <w:color w:val="222222"/>
          <w:sz w:val="22"/>
        </w:rPr>
        <w:t>Le workflow exportable comprend les étapes suivantes. Elles sont déjà câblées dans le fichier JSON et peuvent être ajustées aux besoins du client.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vAlign w:val="center"/>
            <w:shd w:fill="EDEDED"/>
          </w:tcPr>
          <w:p>
            <w:pPr>
              <w:spacing w:after="60" w:before="60" w:line="276" w:lineRule="auto"/>
              <w:jc w:val="left"/>
            </w:pPr>
            <w:r>
              <w:rPr>
                <w:rFonts w:ascii="Arial" w:hAnsi="Arial"/>
                <w:b/>
                <w:i w:val="0"/>
                <w:color w:val="222222"/>
                <w:sz w:val="21"/>
              </w:rPr>
              <w:t>Bloc</w:t>
            </w:r>
          </w:p>
        </w:tc>
        <w:tc>
          <w:tcPr>
            <w:tcW w:type="dxa" w:w="3168"/>
            <w:vAlign w:val="center"/>
            <w:shd w:fill="EDEDED"/>
          </w:tcPr>
          <w:p>
            <w:pPr>
              <w:spacing w:after="60" w:before="60" w:line="276" w:lineRule="auto"/>
              <w:jc w:val="left"/>
            </w:pPr>
            <w:r>
              <w:rPr>
                <w:rFonts w:ascii="Arial" w:hAnsi="Arial"/>
                <w:b/>
                <w:i w:val="0"/>
                <w:color w:val="222222"/>
                <w:sz w:val="21"/>
              </w:rPr>
              <w:t>Nom dans n8n</w:t>
            </w:r>
          </w:p>
        </w:tc>
        <w:tc>
          <w:tcPr>
            <w:tcW w:type="dxa" w:w="4464"/>
            <w:vAlign w:val="center"/>
            <w:shd w:fill="EDEDED"/>
          </w:tcPr>
          <w:p>
            <w:pPr>
              <w:spacing w:after="60" w:before="60" w:line="276" w:lineRule="auto"/>
              <w:jc w:val="left"/>
            </w:pPr>
            <w:r>
              <w:rPr>
                <w:rFonts w:ascii="Arial" w:hAnsi="Arial"/>
                <w:b/>
                <w:i w:val="0"/>
                <w:color w:val="222222"/>
                <w:sz w:val="21"/>
              </w:rPr>
              <w:t>Rôle</w:t>
            </w:r>
          </w:p>
        </w:tc>
      </w:tr>
      <w:tr>
        <w:tc>
          <w:tcPr>
            <w:tcW w:type="dxa" w:w="1728"/>
            <w:vAlign w:val="center"/>
          </w:tcPr>
          <w:p>
            <w:pPr>
              <w:spacing w:after="60" w:before="60" w:line="276" w:lineRule="auto"/>
              <w:jc w:val="left"/>
            </w:pPr>
            <w:r>
              <w:rPr>
                <w:rFonts w:ascii="Arial" w:hAnsi="Arial"/>
                <w:b w:val="0"/>
                <w:i w:val="0"/>
                <w:color w:val="222222"/>
                <w:sz w:val="20"/>
              </w:rPr>
              <w:t>Déclenchement</w:t>
            </w:r>
          </w:p>
        </w:tc>
        <w:tc>
          <w:tcPr>
            <w:tcW w:type="dxa" w:w="3168"/>
            <w:vAlign w:val="center"/>
          </w:tcPr>
          <w:p>
            <w:pPr>
              <w:spacing w:after="60" w:before="60" w:line="276" w:lineRule="auto"/>
              <w:jc w:val="left"/>
            </w:pPr>
            <w:r>
              <w:rPr>
                <w:rFonts w:ascii="Arial" w:hAnsi="Arial"/>
                <w:b w:val="0"/>
                <w:i w:val="0"/>
                <w:color w:val="222222"/>
                <w:sz w:val="20"/>
              </w:rPr>
              <w:t>Trigger manuel / Webhook - Données pré-clôture</w:t>
            </w:r>
          </w:p>
        </w:tc>
        <w:tc>
          <w:tcPr>
            <w:tcW w:type="dxa" w:w="4464"/>
            <w:vAlign w:val="center"/>
          </w:tcPr>
          <w:p>
            <w:pPr>
              <w:spacing w:after="60" w:before="60" w:line="276" w:lineRule="auto"/>
              <w:jc w:val="left"/>
            </w:pPr>
            <w:r>
              <w:rPr>
                <w:rFonts w:ascii="Arial" w:hAnsi="Arial"/>
                <w:b w:val="0"/>
                <w:i w:val="0"/>
                <w:color w:val="222222"/>
                <w:sz w:val="20"/>
              </w:rPr>
              <w:t>Lance le workflow en mode test ou via un envoi HTTP.</w:t>
            </w:r>
          </w:p>
        </w:tc>
      </w:tr>
      <w:tr>
        <w:tc>
          <w:tcPr>
            <w:tcW w:type="dxa" w:w="1728"/>
            <w:vAlign w:val="center"/>
          </w:tcPr>
          <w:p>
            <w:pPr>
              <w:spacing w:after="60" w:before="60" w:line="276" w:lineRule="auto"/>
              <w:jc w:val="left"/>
            </w:pPr>
            <w:r>
              <w:rPr>
                <w:rFonts w:ascii="Arial" w:hAnsi="Arial"/>
                <w:b w:val="0"/>
                <w:i w:val="0"/>
                <w:color w:val="222222"/>
                <w:sz w:val="20"/>
              </w:rPr>
              <w:t>Préparation</w:t>
            </w:r>
          </w:p>
        </w:tc>
        <w:tc>
          <w:tcPr>
            <w:tcW w:type="dxa" w:w="3168"/>
            <w:vAlign w:val="center"/>
          </w:tcPr>
          <w:p>
            <w:pPr>
              <w:spacing w:after="60" w:before="60" w:line="276" w:lineRule="auto"/>
              <w:jc w:val="left"/>
            </w:pPr>
            <w:r>
              <w:rPr>
                <w:rFonts w:ascii="Arial" w:hAnsi="Arial"/>
                <w:b w:val="0"/>
                <w:i w:val="0"/>
                <w:color w:val="222222"/>
                <w:sz w:val="20"/>
              </w:rPr>
              <w:t>Jeu de données démo / Normaliser entrée webhook</w:t>
            </w:r>
          </w:p>
        </w:tc>
        <w:tc>
          <w:tcPr>
            <w:tcW w:type="dxa" w:w="4464"/>
            <w:vAlign w:val="center"/>
          </w:tcPr>
          <w:p>
            <w:pPr>
              <w:spacing w:after="60" w:before="60" w:line="276" w:lineRule="auto"/>
              <w:jc w:val="left"/>
            </w:pPr>
            <w:r>
              <w:rPr>
                <w:rFonts w:ascii="Arial" w:hAnsi="Arial"/>
                <w:b w:val="0"/>
                <w:i w:val="0"/>
                <w:color w:val="222222"/>
                <w:sz w:val="20"/>
              </w:rPr>
              <w:t>Met en forme les données de pré-clôture et applique les valeurs par défaut.</w:t>
            </w:r>
          </w:p>
        </w:tc>
      </w:tr>
      <w:tr>
        <w:tc>
          <w:tcPr>
            <w:tcW w:type="dxa" w:w="1728"/>
            <w:vAlign w:val="center"/>
          </w:tcPr>
          <w:p>
            <w:pPr>
              <w:spacing w:after="60" w:before="60" w:line="276" w:lineRule="auto"/>
              <w:jc w:val="left"/>
            </w:pPr>
            <w:r>
              <w:rPr>
                <w:rFonts w:ascii="Arial" w:hAnsi="Arial"/>
                <w:b w:val="0"/>
                <w:i w:val="0"/>
                <w:color w:val="222222"/>
                <w:sz w:val="20"/>
              </w:rPr>
              <w:t>Contrôles</w:t>
            </w:r>
          </w:p>
        </w:tc>
        <w:tc>
          <w:tcPr>
            <w:tcW w:type="dxa" w:w="3168"/>
            <w:vAlign w:val="center"/>
          </w:tcPr>
          <w:p>
            <w:pPr>
              <w:spacing w:after="60" w:before="60" w:line="276" w:lineRule="auto"/>
              <w:jc w:val="left"/>
            </w:pPr>
            <w:r>
              <w:rPr>
                <w:rFonts w:ascii="Arial" w:hAnsi="Arial"/>
                <w:b w:val="0"/>
                <w:i w:val="0"/>
                <w:color w:val="222222"/>
                <w:sz w:val="20"/>
              </w:rPr>
              <w:t>Détecter écarts et priorités</w:t>
            </w:r>
          </w:p>
        </w:tc>
        <w:tc>
          <w:tcPr>
            <w:tcW w:type="dxa" w:w="4464"/>
            <w:vAlign w:val="center"/>
          </w:tcPr>
          <w:p>
            <w:pPr>
              <w:spacing w:after="60" w:before="60" w:line="276" w:lineRule="auto"/>
              <w:jc w:val="left"/>
            </w:pPr>
            <w:r>
              <w:rPr>
                <w:rFonts w:ascii="Arial" w:hAnsi="Arial"/>
                <w:b w:val="0"/>
                <w:i w:val="0"/>
                <w:color w:val="222222"/>
                <w:sz w:val="20"/>
              </w:rPr>
              <w:t>Calcule les variations, classe les anomalies et prépare les KPI.</w:t>
            </w:r>
          </w:p>
        </w:tc>
      </w:tr>
      <w:tr>
        <w:tc>
          <w:tcPr>
            <w:tcW w:type="dxa" w:w="1728"/>
            <w:vAlign w:val="center"/>
          </w:tcPr>
          <w:p>
            <w:pPr>
              <w:spacing w:after="60" w:before="60" w:line="276" w:lineRule="auto"/>
              <w:jc w:val="left"/>
            </w:pPr>
            <w:r>
              <w:rPr>
                <w:rFonts w:ascii="Arial" w:hAnsi="Arial"/>
                <w:b w:val="0"/>
                <w:i w:val="0"/>
                <w:color w:val="222222"/>
                <w:sz w:val="20"/>
              </w:rPr>
              <w:t>Protection</w:t>
            </w:r>
          </w:p>
        </w:tc>
        <w:tc>
          <w:tcPr>
            <w:tcW w:type="dxa" w:w="3168"/>
            <w:vAlign w:val="center"/>
          </w:tcPr>
          <w:p>
            <w:pPr>
              <w:spacing w:after="60" w:before="60" w:line="276" w:lineRule="auto"/>
              <w:jc w:val="left"/>
            </w:pPr>
            <w:r>
              <w:rPr>
                <w:rFonts w:ascii="Arial" w:hAnsi="Arial"/>
                <w:b w:val="0"/>
                <w:i w:val="0"/>
                <w:color w:val="222222"/>
                <w:sz w:val="20"/>
              </w:rPr>
              <w:t>Masquer données sensibles pour IA</w:t>
            </w:r>
          </w:p>
        </w:tc>
        <w:tc>
          <w:tcPr>
            <w:tcW w:type="dxa" w:w="4464"/>
            <w:vAlign w:val="center"/>
          </w:tcPr>
          <w:p>
            <w:pPr>
              <w:spacing w:after="60" w:before="60" w:line="276" w:lineRule="auto"/>
              <w:jc w:val="left"/>
            </w:pPr>
            <w:r>
              <w:rPr>
                <w:rFonts w:ascii="Arial" w:hAnsi="Arial"/>
                <w:b w:val="0"/>
                <w:i w:val="0"/>
                <w:color w:val="222222"/>
                <w:sz w:val="20"/>
              </w:rPr>
              <w:t>Pseudonymise les données sensibles avant tout envoi au moteur IA.</w:t>
            </w:r>
          </w:p>
        </w:tc>
      </w:tr>
      <w:tr>
        <w:tc>
          <w:tcPr>
            <w:tcW w:type="dxa" w:w="1728"/>
            <w:vAlign w:val="center"/>
          </w:tcPr>
          <w:p>
            <w:pPr>
              <w:spacing w:after="60" w:before="60" w:line="276" w:lineRule="auto"/>
              <w:jc w:val="left"/>
            </w:pPr>
            <w:r>
              <w:rPr>
                <w:rFonts w:ascii="Arial" w:hAnsi="Arial"/>
                <w:b w:val="0"/>
                <w:i w:val="0"/>
                <w:color w:val="222222"/>
                <w:sz w:val="20"/>
              </w:rPr>
              <w:t>IA</w:t>
            </w:r>
          </w:p>
        </w:tc>
        <w:tc>
          <w:tcPr>
            <w:tcW w:type="dxa" w:w="3168"/>
            <w:vAlign w:val="center"/>
          </w:tcPr>
          <w:p>
            <w:pPr>
              <w:spacing w:after="60" w:before="60" w:line="276" w:lineRule="auto"/>
              <w:jc w:val="left"/>
            </w:pPr>
            <w:r>
              <w:rPr>
                <w:rFonts w:ascii="Arial" w:hAnsi="Arial"/>
                <w:b w:val="0"/>
                <w:i w:val="0"/>
                <w:color w:val="222222"/>
                <w:sz w:val="20"/>
              </w:rPr>
              <w:t>Générer synthèse IA</w:t>
            </w:r>
          </w:p>
        </w:tc>
        <w:tc>
          <w:tcPr>
            <w:tcW w:type="dxa" w:w="4464"/>
            <w:vAlign w:val="center"/>
          </w:tcPr>
          <w:p>
            <w:pPr>
              <w:spacing w:after="60" w:before="60" w:line="276" w:lineRule="auto"/>
              <w:jc w:val="left"/>
            </w:pPr>
            <w:r>
              <w:rPr>
                <w:rFonts w:ascii="Arial" w:hAnsi="Arial"/>
                <w:b w:val="0"/>
                <w:i w:val="0"/>
                <w:color w:val="222222"/>
                <w:sz w:val="20"/>
              </w:rPr>
              <w:t>Produit une synthèse managériale structurée en français à partir de données pseudonymisées.</w:t>
            </w:r>
          </w:p>
        </w:tc>
      </w:tr>
      <w:tr>
        <w:tc>
          <w:tcPr>
            <w:tcW w:type="dxa" w:w="1728"/>
            <w:vAlign w:val="center"/>
          </w:tcPr>
          <w:p>
            <w:pPr>
              <w:spacing w:after="60" w:before="60" w:line="276" w:lineRule="auto"/>
              <w:jc w:val="left"/>
            </w:pPr>
            <w:r>
              <w:rPr>
                <w:rFonts w:ascii="Arial" w:hAnsi="Arial"/>
                <w:b w:val="0"/>
                <w:i w:val="0"/>
                <w:color w:val="222222"/>
                <w:sz w:val="20"/>
              </w:rPr>
              <w:t>Validation</w:t>
            </w:r>
          </w:p>
        </w:tc>
        <w:tc>
          <w:tcPr>
            <w:tcW w:type="dxa" w:w="3168"/>
            <w:vAlign w:val="center"/>
          </w:tcPr>
          <w:p>
            <w:pPr>
              <w:spacing w:after="60" w:before="60" w:line="276" w:lineRule="auto"/>
              <w:jc w:val="left"/>
            </w:pPr>
            <w:r>
              <w:rPr>
                <w:rFonts w:ascii="Arial" w:hAnsi="Arial"/>
                <w:b w:val="0"/>
                <w:i w:val="0"/>
                <w:color w:val="222222"/>
                <w:sz w:val="20"/>
              </w:rPr>
              <w:t>Construire email validation / Envoyer email validation</w:t>
            </w:r>
          </w:p>
        </w:tc>
        <w:tc>
          <w:tcPr>
            <w:tcW w:type="dxa" w:w="4464"/>
            <w:vAlign w:val="center"/>
          </w:tcPr>
          <w:p>
            <w:pPr>
              <w:spacing w:after="60" w:before="60" w:line="276" w:lineRule="auto"/>
              <w:jc w:val="left"/>
            </w:pPr>
            <w:r>
              <w:rPr>
                <w:rFonts w:ascii="Arial" w:hAnsi="Arial"/>
                <w:b w:val="0"/>
                <w:i w:val="0"/>
                <w:color w:val="222222"/>
                <w:sz w:val="20"/>
              </w:rPr>
              <w:t>Envoie un e-mail de validation humaine avant diffusion.</w:t>
            </w:r>
          </w:p>
        </w:tc>
      </w:tr>
      <w:tr>
        <w:tc>
          <w:tcPr>
            <w:tcW w:type="dxa" w:w="1728"/>
            <w:vAlign w:val="center"/>
          </w:tcPr>
          <w:p>
            <w:pPr>
              <w:spacing w:after="60" w:before="60" w:line="276" w:lineRule="auto"/>
              <w:jc w:val="left"/>
            </w:pPr>
            <w:r>
              <w:rPr>
                <w:rFonts w:ascii="Arial" w:hAnsi="Arial"/>
                <w:b w:val="0"/>
                <w:i w:val="0"/>
                <w:color w:val="222222"/>
                <w:sz w:val="20"/>
              </w:rPr>
              <w:t>Diffusion</w:t>
            </w:r>
          </w:p>
        </w:tc>
        <w:tc>
          <w:tcPr>
            <w:tcW w:type="dxa" w:w="3168"/>
            <w:vAlign w:val="center"/>
          </w:tcPr>
          <w:p>
            <w:pPr>
              <w:spacing w:after="60" w:before="60" w:line="276" w:lineRule="auto"/>
              <w:jc w:val="left"/>
            </w:pPr>
            <w:r>
              <w:rPr>
                <w:rFonts w:ascii="Arial" w:hAnsi="Arial"/>
                <w:b w:val="0"/>
                <w:i w:val="0"/>
                <w:color w:val="222222"/>
                <w:sz w:val="20"/>
              </w:rPr>
              <w:t>Webhook - Approbation finale / Envoyer synthèse finale</w:t>
            </w:r>
          </w:p>
        </w:tc>
        <w:tc>
          <w:tcPr>
            <w:tcW w:type="dxa" w:w="4464"/>
            <w:vAlign w:val="center"/>
          </w:tcPr>
          <w:p>
            <w:pPr>
              <w:spacing w:after="60" w:before="60" w:line="276" w:lineRule="auto"/>
              <w:jc w:val="left"/>
            </w:pPr>
            <w:r>
              <w:rPr>
                <w:rFonts w:ascii="Arial" w:hAnsi="Arial"/>
                <w:b w:val="0"/>
                <w:i w:val="0"/>
                <w:color w:val="222222"/>
                <w:sz w:val="20"/>
              </w:rPr>
              <w:t>Diffuse la synthèse uniquement après approbation.</w:t>
            </w:r>
          </w:p>
        </w:tc>
      </w:tr>
    </w:tbl>
    <w:p>
      <w:pPr>
        <w:spacing w:after="120" w:before="320" w:line="276" w:lineRule="auto"/>
        <w:jc w:val="left"/>
      </w:pPr>
      <w:r>
        <w:rPr>
          <w:rFonts w:ascii="Arial" w:hAnsi="Arial"/>
          <w:b/>
          <w:i w:val="0"/>
          <w:color w:val="163556"/>
          <w:sz w:val="32"/>
        </w:rPr>
        <w:t>5. Prérequis techniques</w:t>
      </w:r>
    </w:p>
    <w:p>
      <w:pPr>
        <w:pStyle w:val="ListBullet"/>
        <w:spacing w:after="80" w:before="0" w:line="276" w:lineRule="auto"/>
        <w:jc w:val="left"/>
      </w:pPr>
      <w:r>
        <w:rPr>
          <w:rFonts w:ascii="Arial" w:hAnsi="Arial"/>
          <w:b w:val="0"/>
          <w:i w:val="0"/>
          <w:color w:val="222222"/>
          <w:sz w:val="22"/>
        </w:rPr>
        <w:t>Une instance n8n active et accessible.</w:t>
      </w:r>
    </w:p>
    <w:p>
      <w:pPr>
        <w:pStyle w:val="ListBullet"/>
        <w:spacing w:after="80" w:before="0" w:line="276" w:lineRule="auto"/>
        <w:jc w:val="left"/>
      </w:pPr>
      <w:r>
        <w:rPr>
          <w:rFonts w:ascii="Arial" w:hAnsi="Arial"/>
          <w:b w:val="0"/>
          <w:i w:val="0"/>
          <w:color w:val="222222"/>
          <w:sz w:val="22"/>
        </w:rPr>
        <w:t>Un accès d’administration pour importer un workflow JSON.</w:t>
      </w:r>
    </w:p>
    <w:p>
      <w:pPr>
        <w:pStyle w:val="ListBullet"/>
        <w:spacing w:after="80" w:before="0" w:line="276" w:lineRule="auto"/>
        <w:jc w:val="left"/>
      </w:pPr>
      <w:r>
        <w:rPr>
          <w:rFonts w:ascii="Arial" w:hAnsi="Arial"/>
          <w:b w:val="0"/>
          <w:i w:val="0"/>
          <w:color w:val="222222"/>
          <w:sz w:val="22"/>
        </w:rPr>
        <w:t>Une clé API OpenAI pour la génération de synthèse.</w:t>
      </w:r>
    </w:p>
    <w:p>
      <w:pPr>
        <w:pStyle w:val="ListBullet"/>
        <w:spacing w:after="80" w:before="0" w:line="276" w:lineRule="auto"/>
        <w:jc w:val="left"/>
      </w:pPr>
      <w:r>
        <w:rPr>
          <w:rFonts w:ascii="Arial" w:hAnsi="Arial"/>
          <w:b w:val="0"/>
          <w:i w:val="0"/>
          <w:color w:val="222222"/>
          <w:sz w:val="22"/>
        </w:rPr>
        <w:t>Une clé API Resend pour l’envoi des e-mails de validation et de diffusion.</w:t>
      </w:r>
    </w:p>
    <w:p>
      <w:pPr>
        <w:pStyle w:val="ListBullet"/>
        <w:spacing w:after="80" w:before="0" w:line="276" w:lineRule="auto"/>
        <w:jc w:val="left"/>
      </w:pPr>
      <w:r>
        <w:rPr>
          <w:rFonts w:ascii="Arial" w:hAnsi="Arial"/>
          <w:b w:val="0"/>
          <w:i w:val="0"/>
          <w:color w:val="222222"/>
          <w:sz w:val="22"/>
        </w:rPr>
        <w:t>Une URL publique ou interne stable pour n8n si la validation se fait par lien.</w:t>
      </w:r>
    </w:p>
    <w:p>
      <w:pPr>
        <w:spacing w:after="120" w:before="320" w:line="276" w:lineRule="auto"/>
        <w:jc w:val="left"/>
      </w:pPr>
      <w:r>
        <w:rPr>
          <w:rFonts w:ascii="Arial" w:hAnsi="Arial"/>
          <w:b/>
          <w:i w:val="0"/>
          <w:color w:val="163556"/>
          <w:sz w:val="32"/>
        </w:rPr>
        <w:t>6. Variables d’environnement à configurer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vAlign w:val="center"/>
            <w:shd w:fill="EDEDED"/>
          </w:tcPr>
          <w:p>
            <w:pPr>
              <w:spacing w:after="60" w:before="60" w:line="276" w:lineRule="auto"/>
              <w:jc w:val="left"/>
            </w:pPr>
            <w:r>
              <w:rPr>
                <w:rFonts w:ascii="Arial" w:hAnsi="Arial"/>
                <w:b/>
                <w:i w:val="0"/>
                <w:color w:val="222222"/>
                <w:sz w:val="21"/>
              </w:rPr>
              <w:t>Variable</w:t>
            </w:r>
          </w:p>
        </w:tc>
        <w:tc>
          <w:tcPr>
            <w:tcW w:type="dxa" w:w="1296"/>
            <w:vAlign w:val="center"/>
            <w:shd w:fill="EDEDED"/>
          </w:tcPr>
          <w:p>
            <w:pPr>
              <w:spacing w:after="60" w:before="60" w:line="276" w:lineRule="auto"/>
              <w:jc w:val="left"/>
            </w:pPr>
            <w:r>
              <w:rPr>
                <w:rFonts w:ascii="Arial" w:hAnsi="Arial"/>
                <w:b/>
                <w:i w:val="0"/>
                <w:color w:val="222222"/>
                <w:sz w:val="21"/>
              </w:rPr>
              <w:t>Obligatoire</w:t>
            </w:r>
          </w:p>
        </w:tc>
        <w:tc>
          <w:tcPr>
            <w:tcW w:type="dxa" w:w="5472"/>
            <w:vAlign w:val="center"/>
            <w:shd w:fill="EDEDED"/>
          </w:tcPr>
          <w:p>
            <w:pPr>
              <w:spacing w:after="60" w:before="60" w:line="276" w:lineRule="auto"/>
              <w:jc w:val="left"/>
            </w:pPr>
            <w:r>
              <w:rPr>
                <w:rFonts w:ascii="Arial" w:hAnsi="Arial"/>
                <w:b/>
                <w:i w:val="0"/>
                <w:color w:val="222222"/>
                <w:sz w:val="21"/>
              </w:rPr>
              <w:t>Usage</w:t>
            </w:r>
          </w:p>
        </w:tc>
      </w:tr>
      <w:tr>
        <w:tc>
          <w:tcPr>
            <w:tcW w:type="dxa" w:w="2592"/>
            <w:vAlign w:val="center"/>
          </w:tcPr>
          <w:p>
            <w:pPr>
              <w:spacing w:after="60" w:before="60" w:line="276" w:lineRule="auto"/>
              <w:jc w:val="left"/>
            </w:pPr>
            <w:r>
              <w:rPr>
                <w:rFonts w:ascii="Arial" w:hAnsi="Arial"/>
                <w:b w:val="0"/>
                <w:i w:val="0"/>
                <w:color w:val="222222"/>
                <w:sz w:val="20"/>
              </w:rPr>
              <w:t>OPENAI_API_KEY</w:t>
            </w:r>
          </w:p>
        </w:tc>
        <w:tc>
          <w:tcPr>
            <w:tcW w:type="dxa" w:w="1296"/>
            <w:vAlign w:val="center"/>
          </w:tcPr>
          <w:p>
            <w:pPr>
              <w:spacing w:after="60" w:before="60" w:line="276" w:lineRule="auto"/>
              <w:jc w:val="left"/>
            </w:pPr>
            <w:r>
              <w:rPr>
                <w:rFonts w:ascii="Arial" w:hAnsi="Arial"/>
                <w:b w:val="0"/>
                <w:i w:val="0"/>
                <w:color w:val="222222"/>
                <w:sz w:val="20"/>
              </w:rPr>
              <w:t>Oui</w:t>
            </w:r>
          </w:p>
        </w:tc>
        <w:tc>
          <w:tcPr>
            <w:tcW w:type="dxa" w:w="5472"/>
            <w:vAlign w:val="center"/>
          </w:tcPr>
          <w:p>
            <w:pPr>
              <w:spacing w:after="60" w:before="60" w:line="276" w:lineRule="auto"/>
              <w:jc w:val="left"/>
            </w:pPr>
            <w:r>
              <w:rPr>
                <w:rFonts w:ascii="Arial" w:hAnsi="Arial"/>
                <w:b w:val="0"/>
                <w:i w:val="0"/>
                <w:color w:val="222222"/>
                <w:sz w:val="20"/>
              </w:rPr>
              <w:t>Authentifie l’appel au modèle IA chargé de rédiger la synthèse.</w:t>
            </w:r>
          </w:p>
        </w:tc>
      </w:tr>
      <w:tr>
        <w:tc>
          <w:tcPr>
            <w:tcW w:type="dxa" w:w="2592"/>
            <w:vAlign w:val="center"/>
          </w:tcPr>
          <w:p>
            <w:pPr>
              <w:spacing w:after="60" w:before="60" w:line="276" w:lineRule="auto"/>
              <w:jc w:val="left"/>
            </w:pPr>
            <w:r>
              <w:rPr>
                <w:rFonts w:ascii="Arial" w:hAnsi="Arial"/>
                <w:b w:val="0"/>
                <w:i w:val="0"/>
                <w:color w:val="222222"/>
                <w:sz w:val="20"/>
              </w:rPr>
              <w:t>RESEND_API_KEY</w:t>
            </w:r>
          </w:p>
        </w:tc>
        <w:tc>
          <w:tcPr>
            <w:tcW w:type="dxa" w:w="1296"/>
            <w:vAlign w:val="center"/>
          </w:tcPr>
          <w:p>
            <w:pPr>
              <w:spacing w:after="60" w:before="60" w:line="276" w:lineRule="auto"/>
              <w:jc w:val="left"/>
            </w:pPr>
            <w:r>
              <w:rPr>
                <w:rFonts w:ascii="Arial" w:hAnsi="Arial"/>
                <w:b w:val="0"/>
                <w:i w:val="0"/>
                <w:color w:val="222222"/>
                <w:sz w:val="20"/>
              </w:rPr>
              <w:t>Oui</w:t>
            </w:r>
          </w:p>
        </w:tc>
        <w:tc>
          <w:tcPr>
            <w:tcW w:type="dxa" w:w="5472"/>
            <w:vAlign w:val="center"/>
          </w:tcPr>
          <w:p>
            <w:pPr>
              <w:spacing w:after="60" w:before="60" w:line="276" w:lineRule="auto"/>
              <w:jc w:val="left"/>
            </w:pPr>
            <w:r>
              <w:rPr>
                <w:rFonts w:ascii="Arial" w:hAnsi="Arial"/>
                <w:b w:val="0"/>
                <w:i w:val="0"/>
                <w:color w:val="222222"/>
                <w:sz w:val="20"/>
              </w:rPr>
              <w:t>Permet l’envoi des e-mails de validation et de diffusion.</w:t>
            </w:r>
          </w:p>
        </w:tc>
      </w:tr>
      <w:tr>
        <w:tc>
          <w:tcPr>
            <w:tcW w:type="dxa" w:w="2592"/>
            <w:vAlign w:val="center"/>
          </w:tcPr>
          <w:p>
            <w:pPr>
              <w:spacing w:after="60" w:before="60" w:line="276" w:lineRule="auto"/>
              <w:jc w:val="left"/>
            </w:pPr>
            <w:r>
              <w:rPr>
                <w:rFonts w:ascii="Arial" w:hAnsi="Arial"/>
                <w:b w:val="0"/>
                <w:i w:val="0"/>
                <w:color w:val="222222"/>
                <w:sz w:val="20"/>
              </w:rPr>
              <w:t>N8N_BASE_URL</w:t>
            </w:r>
          </w:p>
        </w:tc>
        <w:tc>
          <w:tcPr>
            <w:tcW w:type="dxa" w:w="1296"/>
            <w:vAlign w:val="center"/>
          </w:tcPr>
          <w:p>
            <w:pPr>
              <w:spacing w:after="60" w:before="60" w:line="276" w:lineRule="auto"/>
              <w:jc w:val="left"/>
            </w:pPr>
            <w:r>
              <w:rPr>
                <w:rFonts w:ascii="Arial" w:hAnsi="Arial"/>
                <w:b w:val="0"/>
                <w:i w:val="0"/>
                <w:color w:val="222222"/>
                <w:sz w:val="20"/>
              </w:rPr>
              <w:t>Oui</w:t>
            </w:r>
          </w:p>
        </w:tc>
        <w:tc>
          <w:tcPr>
            <w:tcW w:type="dxa" w:w="5472"/>
            <w:vAlign w:val="center"/>
          </w:tcPr>
          <w:p>
            <w:pPr>
              <w:spacing w:after="60" w:before="60" w:line="276" w:lineRule="auto"/>
              <w:jc w:val="left"/>
            </w:pPr>
            <w:r>
              <w:rPr>
                <w:rFonts w:ascii="Arial" w:hAnsi="Arial"/>
                <w:b w:val="0"/>
                <w:i w:val="0"/>
                <w:color w:val="222222"/>
                <w:sz w:val="20"/>
              </w:rPr>
              <w:t>Construit les liens d’approbation envoyés au valideur.</w:t>
            </w:r>
          </w:p>
        </w:tc>
      </w:tr>
      <w:tr>
        <w:tc>
          <w:tcPr>
            <w:tcW w:type="dxa" w:w="2592"/>
            <w:vAlign w:val="center"/>
          </w:tcPr>
          <w:p>
            <w:pPr>
              <w:spacing w:after="60" w:before="60" w:line="276" w:lineRule="auto"/>
              <w:jc w:val="left"/>
            </w:pPr>
            <w:r>
              <w:rPr>
                <w:rFonts w:ascii="Arial" w:hAnsi="Arial"/>
                <w:b w:val="0"/>
                <w:i w:val="0"/>
                <w:color w:val="222222"/>
                <w:sz w:val="20"/>
              </w:rPr>
              <w:t>OUTREACH_FROM_EMAIL</w:t>
            </w:r>
          </w:p>
        </w:tc>
        <w:tc>
          <w:tcPr>
            <w:tcW w:type="dxa" w:w="1296"/>
            <w:vAlign w:val="center"/>
          </w:tcPr>
          <w:p>
            <w:pPr>
              <w:spacing w:after="60" w:before="60" w:line="276" w:lineRule="auto"/>
              <w:jc w:val="left"/>
            </w:pPr>
            <w:r>
              <w:rPr>
                <w:rFonts w:ascii="Arial" w:hAnsi="Arial"/>
                <w:b w:val="0"/>
                <w:i w:val="0"/>
                <w:color w:val="222222"/>
                <w:sz w:val="20"/>
              </w:rPr>
              <w:t>Optionnel</w:t>
            </w:r>
          </w:p>
        </w:tc>
        <w:tc>
          <w:tcPr>
            <w:tcW w:type="dxa" w:w="5472"/>
            <w:vAlign w:val="center"/>
          </w:tcPr>
          <w:p>
            <w:pPr>
              <w:spacing w:after="60" w:before="60" w:line="276" w:lineRule="auto"/>
              <w:jc w:val="left"/>
            </w:pPr>
            <w:r>
              <w:rPr>
                <w:rFonts w:ascii="Arial" w:hAnsi="Arial"/>
                <w:b w:val="0"/>
                <w:i w:val="0"/>
                <w:color w:val="222222"/>
                <w:sz w:val="20"/>
              </w:rPr>
              <w:t>Adresse d’envoi affichée dans les e-mails.</w:t>
            </w:r>
          </w:p>
        </w:tc>
      </w:tr>
      <w:tr>
        <w:tc>
          <w:tcPr>
            <w:tcW w:type="dxa" w:w="2592"/>
            <w:vAlign w:val="center"/>
          </w:tcPr>
          <w:p>
            <w:pPr>
              <w:spacing w:after="60" w:before="60" w:line="276" w:lineRule="auto"/>
              <w:jc w:val="left"/>
            </w:pPr>
            <w:r>
              <w:rPr>
                <w:rFonts w:ascii="Arial" w:hAnsi="Arial"/>
                <w:b w:val="0"/>
                <w:i w:val="0"/>
                <w:color w:val="222222"/>
                <w:sz w:val="20"/>
              </w:rPr>
              <w:t>INTERNAL_REVIEW_EMAIL</w:t>
            </w:r>
          </w:p>
        </w:tc>
        <w:tc>
          <w:tcPr>
            <w:tcW w:type="dxa" w:w="1296"/>
            <w:vAlign w:val="center"/>
          </w:tcPr>
          <w:p>
            <w:pPr>
              <w:spacing w:after="60" w:before="60" w:line="276" w:lineRule="auto"/>
              <w:jc w:val="left"/>
            </w:pPr>
            <w:r>
              <w:rPr>
                <w:rFonts w:ascii="Arial" w:hAnsi="Arial"/>
                <w:b w:val="0"/>
                <w:i w:val="0"/>
                <w:color w:val="222222"/>
                <w:sz w:val="20"/>
              </w:rPr>
              <w:t>Optionnel</w:t>
            </w:r>
          </w:p>
        </w:tc>
        <w:tc>
          <w:tcPr>
            <w:tcW w:type="dxa" w:w="5472"/>
            <w:vAlign w:val="center"/>
          </w:tcPr>
          <w:p>
            <w:pPr>
              <w:spacing w:after="60" w:before="60" w:line="276" w:lineRule="auto"/>
              <w:jc w:val="left"/>
            </w:pPr>
            <w:r>
              <w:rPr>
                <w:rFonts w:ascii="Arial" w:hAnsi="Arial"/>
                <w:b w:val="0"/>
                <w:i w:val="0"/>
                <w:color w:val="222222"/>
                <w:sz w:val="20"/>
              </w:rPr>
              <w:t>Adresse de validation par défaut si aucune adresse n’est fournie dans le payload.</w:t>
            </w:r>
          </w:p>
        </w:tc>
      </w:tr>
    </w:tbl>
    <w:p>
      <w:pPr>
        <w:spacing w:after="120" w:before="320" w:line="276" w:lineRule="auto"/>
        <w:jc w:val="left"/>
      </w:pPr>
      <w:r>
        <w:rPr>
          <w:rFonts w:ascii="Arial" w:hAnsi="Arial"/>
          <w:b/>
          <w:i w:val="0"/>
          <w:color w:val="163556"/>
          <w:sz w:val="32"/>
        </w:rPr>
        <w:t>7. Structure des données attendues dans le webhook</w:t>
      </w:r>
    </w:p>
    <w:p>
      <w:pPr>
        <w:spacing w:after="120" w:before="0" w:line="276" w:lineRule="auto"/>
        <w:jc w:val="left"/>
      </w:pPr>
      <w:r>
        <w:rPr>
          <w:rFonts w:ascii="Arial" w:hAnsi="Arial"/>
          <w:b w:val="0"/>
          <w:i w:val="0"/>
          <w:color w:val="222222"/>
          <w:sz w:val="22"/>
        </w:rPr>
        <w:t>Le webhook principal attend un payload JSON contenant les métadonnées du client bancaire et les lignes de pré-clôture à analyser.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80"/>
            <w:vAlign w:val="center"/>
            <w:shd w:fill="EDEDED"/>
          </w:tcPr>
          <w:p>
            <w:pPr>
              <w:spacing w:after="60" w:before="60" w:line="276" w:lineRule="auto"/>
              <w:jc w:val="left"/>
            </w:pPr>
            <w:r>
              <w:rPr>
                <w:rFonts w:ascii="Arial" w:hAnsi="Arial"/>
                <w:b/>
                <w:i w:val="0"/>
                <w:color w:val="222222"/>
                <w:sz w:val="21"/>
              </w:rPr>
              <w:t>Champ</w:t>
            </w:r>
          </w:p>
        </w:tc>
        <w:tc>
          <w:tcPr>
            <w:tcW w:type="dxa" w:w="1440"/>
            <w:vAlign w:val="center"/>
            <w:shd w:fill="EDEDED"/>
          </w:tcPr>
          <w:p>
            <w:pPr>
              <w:spacing w:after="60" w:before="60" w:line="276" w:lineRule="auto"/>
              <w:jc w:val="left"/>
            </w:pPr>
            <w:r>
              <w:rPr>
                <w:rFonts w:ascii="Arial" w:hAnsi="Arial"/>
                <w:b/>
                <w:i w:val="0"/>
                <w:color w:val="222222"/>
                <w:sz w:val="21"/>
              </w:rPr>
              <w:t>Type</w:t>
            </w:r>
          </w:p>
        </w:tc>
        <w:tc>
          <w:tcPr>
            <w:tcW w:type="dxa" w:w="5040"/>
            <w:vAlign w:val="center"/>
            <w:shd w:fill="EDEDED"/>
          </w:tcPr>
          <w:p>
            <w:pPr>
              <w:spacing w:after="60" w:before="60" w:line="276" w:lineRule="auto"/>
              <w:jc w:val="left"/>
            </w:pPr>
            <w:r>
              <w:rPr>
                <w:rFonts w:ascii="Arial" w:hAnsi="Arial"/>
                <w:b/>
                <w:i w:val="0"/>
                <w:color w:val="222222"/>
                <w:sz w:val="21"/>
              </w:rPr>
              <w:t>Description</w:t>
            </w:r>
          </w:p>
        </w:tc>
      </w:tr>
      <w:tr>
        <w:tc>
          <w:tcPr>
            <w:tcW w:type="dxa" w:w="2880"/>
            <w:vAlign w:val="center"/>
          </w:tcPr>
          <w:p>
            <w:pPr>
              <w:spacing w:after="60" w:before="60" w:line="276" w:lineRule="auto"/>
              <w:jc w:val="left"/>
            </w:pPr>
            <w:r>
              <w:rPr>
                <w:rFonts w:ascii="Arial" w:hAnsi="Arial"/>
                <w:b w:val="0"/>
                <w:i w:val="0"/>
                <w:color w:val="222222"/>
                <w:sz w:val="20"/>
              </w:rPr>
              <w:t>entity</w:t>
            </w:r>
          </w:p>
        </w:tc>
        <w:tc>
          <w:tcPr>
            <w:tcW w:type="dxa" w:w="1440"/>
            <w:vAlign w:val="center"/>
          </w:tcPr>
          <w:p>
            <w:pPr>
              <w:spacing w:after="60" w:before="60" w:line="276" w:lineRule="auto"/>
              <w:jc w:val="left"/>
            </w:pPr>
            <w:r>
              <w:rPr>
                <w:rFonts w:ascii="Arial" w:hAnsi="Arial"/>
                <w:b w:val="0"/>
                <w:i w:val="0"/>
                <w:color w:val="222222"/>
                <w:sz w:val="20"/>
              </w:rPr>
              <w:t>Texte</w:t>
            </w:r>
          </w:p>
        </w:tc>
        <w:tc>
          <w:tcPr>
            <w:tcW w:type="dxa" w:w="5040"/>
            <w:vAlign w:val="center"/>
          </w:tcPr>
          <w:p>
            <w:pPr>
              <w:spacing w:after="60" w:before="60" w:line="276" w:lineRule="auto"/>
              <w:jc w:val="left"/>
            </w:pPr>
            <w:r>
              <w:rPr>
                <w:rFonts w:ascii="Arial" w:hAnsi="Arial"/>
                <w:b w:val="0"/>
                <w:i w:val="0"/>
                <w:color w:val="222222"/>
                <w:sz w:val="20"/>
              </w:rPr>
              <w:t>Nom de l’entité bancaire ou de la direction financière.</w:t>
            </w:r>
          </w:p>
        </w:tc>
      </w:tr>
      <w:tr>
        <w:tc>
          <w:tcPr>
            <w:tcW w:type="dxa" w:w="2880"/>
            <w:vAlign w:val="center"/>
          </w:tcPr>
          <w:p>
            <w:pPr>
              <w:spacing w:after="60" w:before="60" w:line="276" w:lineRule="auto"/>
              <w:jc w:val="left"/>
            </w:pPr>
            <w:r>
              <w:rPr>
                <w:rFonts w:ascii="Arial" w:hAnsi="Arial"/>
                <w:b w:val="0"/>
                <w:i w:val="0"/>
                <w:color w:val="222222"/>
                <w:sz w:val="20"/>
              </w:rPr>
              <w:t>report_period</w:t>
            </w:r>
          </w:p>
        </w:tc>
        <w:tc>
          <w:tcPr>
            <w:tcW w:type="dxa" w:w="1440"/>
            <w:vAlign w:val="center"/>
          </w:tcPr>
          <w:p>
            <w:pPr>
              <w:spacing w:after="60" w:before="60" w:line="276" w:lineRule="auto"/>
              <w:jc w:val="left"/>
            </w:pPr>
            <w:r>
              <w:rPr>
                <w:rFonts w:ascii="Arial" w:hAnsi="Arial"/>
                <w:b w:val="0"/>
                <w:i w:val="0"/>
                <w:color w:val="222222"/>
                <w:sz w:val="20"/>
              </w:rPr>
              <w:t>Texte</w:t>
            </w:r>
          </w:p>
        </w:tc>
        <w:tc>
          <w:tcPr>
            <w:tcW w:type="dxa" w:w="5040"/>
            <w:vAlign w:val="center"/>
          </w:tcPr>
          <w:p>
            <w:pPr>
              <w:spacing w:after="60" w:before="60" w:line="276" w:lineRule="auto"/>
              <w:jc w:val="left"/>
            </w:pPr>
            <w:r>
              <w:rPr>
                <w:rFonts w:ascii="Arial" w:hAnsi="Arial"/>
                <w:b w:val="0"/>
                <w:i w:val="0"/>
                <w:color w:val="222222"/>
                <w:sz w:val="20"/>
              </w:rPr>
              <w:t>Période analysée, par exemple : Juin 2026.</w:t>
            </w:r>
          </w:p>
        </w:tc>
      </w:tr>
      <w:tr>
        <w:tc>
          <w:tcPr>
            <w:tcW w:type="dxa" w:w="2880"/>
            <w:vAlign w:val="center"/>
          </w:tcPr>
          <w:p>
            <w:pPr>
              <w:spacing w:after="60" w:before="60" w:line="276" w:lineRule="auto"/>
              <w:jc w:val="left"/>
            </w:pPr>
            <w:r>
              <w:rPr>
                <w:rFonts w:ascii="Arial" w:hAnsi="Arial"/>
                <w:b w:val="0"/>
                <w:i w:val="0"/>
                <w:color w:val="222222"/>
                <w:sz w:val="20"/>
              </w:rPr>
              <w:t>currency</w:t>
            </w:r>
          </w:p>
        </w:tc>
        <w:tc>
          <w:tcPr>
            <w:tcW w:type="dxa" w:w="1440"/>
            <w:vAlign w:val="center"/>
          </w:tcPr>
          <w:p>
            <w:pPr>
              <w:spacing w:after="60" w:before="60" w:line="276" w:lineRule="auto"/>
              <w:jc w:val="left"/>
            </w:pPr>
            <w:r>
              <w:rPr>
                <w:rFonts w:ascii="Arial" w:hAnsi="Arial"/>
                <w:b w:val="0"/>
                <w:i w:val="0"/>
                <w:color w:val="222222"/>
                <w:sz w:val="20"/>
              </w:rPr>
              <w:t>Texte</w:t>
            </w:r>
          </w:p>
        </w:tc>
        <w:tc>
          <w:tcPr>
            <w:tcW w:type="dxa" w:w="5040"/>
            <w:vAlign w:val="center"/>
          </w:tcPr>
          <w:p>
            <w:pPr>
              <w:spacing w:after="60" w:before="60" w:line="276" w:lineRule="auto"/>
              <w:jc w:val="left"/>
            </w:pPr>
            <w:r>
              <w:rPr>
                <w:rFonts w:ascii="Arial" w:hAnsi="Arial"/>
                <w:b w:val="0"/>
                <w:i w:val="0"/>
                <w:color w:val="222222"/>
                <w:sz w:val="20"/>
              </w:rPr>
              <w:t>Devise utilisée, par exemple FCFA.</w:t>
            </w:r>
          </w:p>
        </w:tc>
      </w:tr>
      <w:tr>
        <w:tc>
          <w:tcPr>
            <w:tcW w:type="dxa" w:w="2880"/>
            <w:vAlign w:val="center"/>
          </w:tcPr>
          <w:p>
            <w:pPr>
              <w:spacing w:after="60" w:before="60" w:line="276" w:lineRule="auto"/>
              <w:jc w:val="left"/>
            </w:pPr>
            <w:r>
              <w:rPr>
                <w:rFonts w:ascii="Arial" w:hAnsi="Arial"/>
                <w:b w:val="0"/>
                <w:i w:val="0"/>
                <w:color w:val="222222"/>
                <w:sz w:val="20"/>
              </w:rPr>
              <w:t>manager_email</w:t>
            </w:r>
          </w:p>
        </w:tc>
        <w:tc>
          <w:tcPr>
            <w:tcW w:type="dxa" w:w="1440"/>
            <w:vAlign w:val="center"/>
          </w:tcPr>
          <w:p>
            <w:pPr>
              <w:spacing w:after="60" w:before="60" w:line="276" w:lineRule="auto"/>
              <w:jc w:val="left"/>
            </w:pPr>
            <w:r>
              <w:rPr>
                <w:rFonts w:ascii="Arial" w:hAnsi="Arial"/>
                <w:b w:val="0"/>
                <w:i w:val="0"/>
                <w:color w:val="222222"/>
                <w:sz w:val="20"/>
              </w:rPr>
              <w:t>Texte</w:t>
            </w:r>
          </w:p>
        </w:tc>
        <w:tc>
          <w:tcPr>
            <w:tcW w:type="dxa" w:w="5040"/>
            <w:vAlign w:val="center"/>
          </w:tcPr>
          <w:p>
            <w:pPr>
              <w:spacing w:after="60" w:before="60" w:line="276" w:lineRule="auto"/>
              <w:jc w:val="left"/>
            </w:pPr>
            <w:r>
              <w:rPr>
                <w:rFonts w:ascii="Arial" w:hAnsi="Arial"/>
                <w:b w:val="0"/>
                <w:i w:val="0"/>
                <w:color w:val="222222"/>
                <w:sz w:val="20"/>
              </w:rPr>
              <w:t>Adresse e-mail du valideur principal.</w:t>
            </w:r>
          </w:p>
        </w:tc>
      </w:tr>
      <w:tr>
        <w:tc>
          <w:tcPr>
            <w:tcW w:type="dxa" w:w="2880"/>
            <w:vAlign w:val="center"/>
          </w:tcPr>
          <w:p>
            <w:pPr>
              <w:spacing w:after="60" w:before="60" w:line="276" w:lineRule="auto"/>
              <w:jc w:val="left"/>
            </w:pPr>
            <w:r>
              <w:rPr>
                <w:rFonts w:ascii="Arial" w:hAnsi="Arial"/>
                <w:b w:val="0"/>
                <w:i w:val="0"/>
                <w:color w:val="222222"/>
                <w:sz w:val="20"/>
              </w:rPr>
              <w:t>recipients</w:t>
            </w:r>
          </w:p>
        </w:tc>
        <w:tc>
          <w:tcPr>
            <w:tcW w:type="dxa" w:w="1440"/>
            <w:vAlign w:val="center"/>
          </w:tcPr>
          <w:p>
            <w:pPr>
              <w:spacing w:after="60" w:before="60" w:line="276" w:lineRule="auto"/>
              <w:jc w:val="left"/>
            </w:pPr>
            <w:r>
              <w:rPr>
                <w:rFonts w:ascii="Arial" w:hAnsi="Arial"/>
                <w:b w:val="0"/>
                <w:i w:val="0"/>
                <w:color w:val="222222"/>
                <w:sz w:val="20"/>
              </w:rPr>
              <w:t>Liste</w:t>
            </w:r>
          </w:p>
        </w:tc>
        <w:tc>
          <w:tcPr>
            <w:tcW w:type="dxa" w:w="5040"/>
            <w:vAlign w:val="center"/>
          </w:tcPr>
          <w:p>
            <w:pPr>
              <w:spacing w:after="60" w:before="60" w:line="276" w:lineRule="auto"/>
              <w:jc w:val="left"/>
            </w:pPr>
            <w:r>
              <w:rPr>
                <w:rFonts w:ascii="Arial" w:hAnsi="Arial"/>
                <w:b w:val="0"/>
                <w:i w:val="0"/>
                <w:color w:val="222222"/>
                <w:sz w:val="20"/>
              </w:rPr>
              <w:t>Destinataires de la synthèse finale après validation.</w:t>
            </w:r>
          </w:p>
        </w:tc>
      </w:tr>
      <w:tr>
        <w:tc>
          <w:tcPr>
            <w:tcW w:type="dxa" w:w="2880"/>
            <w:vAlign w:val="center"/>
          </w:tcPr>
          <w:p>
            <w:pPr>
              <w:spacing w:after="60" w:before="60" w:line="276" w:lineRule="auto"/>
              <w:jc w:val="left"/>
            </w:pPr>
            <w:r>
              <w:rPr>
                <w:rFonts w:ascii="Arial" w:hAnsi="Arial"/>
                <w:b w:val="0"/>
                <w:i w:val="0"/>
                <w:color w:val="222222"/>
                <w:sz w:val="20"/>
              </w:rPr>
              <w:t>absolute_variation_threshold</w:t>
            </w:r>
          </w:p>
        </w:tc>
        <w:tc>
          <w:tcPr>
            <w:tcW w:type="dxa" w:w="1440"/>
            <w:vAlign w:val="center"/>
          </w:tcPr>
          <w:p>
            <w:pPr>
              <w:spacing w:after="60" w:before="60" w:line="276" w:lineRule="auto"/>
              <w:jc w:val="left"/>
            </w:pPr>
            <w:r>
              <w:rPr>
                <w:rFonts w:ascii="Arial" w:hAnsi="Arial"/>
                <w:b w:val="0"/>
                <w:i w:val="0"/>
                <w:color w:val="222222"/>
                <w:sz w:val="20"/>
              </w:rPr>
              <w:t>Nombre</w:t>
            </w:r>
          </w:p>
        </w:tc>
        <w:tc>
          <w:tcPr>
            <w:tcW w:type="dxa" w:w="5040"/>
            <w:vAlign w:val="center"/>
          </w:tcPr>
          <w:p>
            <w:pPr>
              <w:spacing w:after="60" w:before="60" w:line="276" w:lineRule="auto"/>
              <w:jc w:val="left"/>
            </w:pPr>
            <w:r>
              <w:rPr>
                <w:rFonts w:ascii="Arial" w:hAnsi="Arial"/>
                <w:b w:val="0"/>
                <w:i w:val="0"/>
                <w:color w:val="222222"/>
                <w:sz w:val="20"/>
              </w:rPr>
              <w:t>Seuil absolu à partir duquel une variation est signalée.</w:t>
            </w:r>
          </w:p>
        </w:tc>
      </w:tr>
      <w:tr>
        <w:tc>
          <w:tcPr>
            <w:tcW w:type="dxa" w:w="2880"/>
            <w:vAlign w:val="center"/>
          </w:tcPr>
          <w:p>
            <w:pPr>
              <w:spacing w:after="60" w:before="60" w:line="276" w:lineRule="auto"/>
              <w:jc w:val="left"/>
            </w:pPr>
            <w:r>
              <w:rPr>
                <w:rFonts w:ascii="Arial" w:hAnsi="Arial"/>
                <w:b w:val="0"/>
                <w:i w:val="0"/>
                <w:color w:val="222222"/>
                <w:sz w:val="20"/>
              </w:rPr>
              <w:t>relative_variation_threshold</w:t>
            </w:r>
          </w:p>
        </w:tc>
        <w:tc>
          <w:tcPr>
            <w:tcW w:type="dxa" w:w="1440"/>
            <w:vAlign w:val="center"/>
          </w:tcPr>
          <w:p>
            <w:pPr>
              <w:spacing w:after="60" w:before="60" w:line="276" w:lineRule="auto"/>
              <w:jc w:val="left"/>
            </w:pPr>
            <w:r>
              <w:rPr>
                <w:rFonts w:ascii="Arial" w:hAnsi="Arial"/>
                <w:b w:val="0"/>
                <w:i w:val="0"/>
                <w:color w:val="222222"/>
                <w:sz w:val="20"/>
              </w:rPr>
              <w:t>Nombre</w:t>
            </w:r>
          </w:p>
        </w:tc>
        <w:tc>
          <w:tcPr>
            <w:tcW w:type="dxa" w:w="5040"/>
            <w:vAlign w:val="center"/>
          </w:tcPr>
          <w:p>
            <w:pPr>
              <w:spacing w:after="60" w:before="60" w:line="276" w:lineRule="auto"/>
              <w:jc w:val="left"/>
            </w:pPr>
            <w:r>
              <w:rPr>
                <w:rFonts w:ascii="Arial" w:hAnsi="Arial"/>
                <w:b w:val="0"/>
                <w:i w:val="0"/>
                <w:color w:val="222222"/>
                <w:sz w:val="20"/>
              </w:rPr>
              <w:t>Seuil relatif à partir duquel une variation est signalée.</w:t>
            </w:r>
          </w:p>
        </w:tc>
      </w:tr>
      <w:tr>
        <w:tc>
          <w:tcPr>
            <w:tcW w:type="dxa" w:w="2880"/>
            <w:vAlign w:val="center"/>
          </w:tcPr>
          <w:p>
            <w:pPr>
              <w:spacing w:after="60" w:before="60" w:line="276" w:lineRule="auto"/>
              <w:jc w:val="left"/>
            </w:pPr>
            <w:r>
              <w:rPr>
                <w:rFonts w:ascii="Arial" w:hAnsi="Arial"/>
                <w:b w:val="0"/>
                <w:i w:val="0"/>
                <w:color w:val="222222"/>
                <w:sz w:val="20"/>
              </w:rPr>
              <w:t>rows</w:t>
            </w:r>
          </w:p>
        </w:tc>
        <w:tc>
          <w:tcPr>
            <w:tcW w:type="dxa" w:w="1440"/>
            <w:vAlign w:val="center"/>
          </w:tcPr>
          <w:p>
            <w:pPr>
              <w:spacing w:after="60" w:before="60" w:line="276" w:lineRule="auto"/>
              <w:jc w:val="left"/>
            </w:pPr>
            <w:r>
              <w:rPr>
                <w:rFonts w:ascii="Arial" w:hAnsi="Arial"/>
                <w:b w:val="0"/>
                <w:i w:val="0"/>
                <w:color w:val="222222"/>
                <w:sz w:val="20"/>
              </w:rPr>
              <w:t>Liste</w:t>
            </w:r>
          </w:p>
        </w:tc>
        <w:tc>
          <w:tcPr>
            <w:tcW w:type="dxa" w:w="5040"/>
            <w:vAlign w:val="center"/>
          </w:tcPr>
          <w:p>
            <w:pPr>
              <w:spacing w:after="60" w:before="60" w:line="276" w:lineRule="auto"/>
              <w:jc w:val="left"/>
            </w:pPr>
            <w:r>
              <w:rPr>
                <w:rFonts w:ascii="Arial" w:hAnsi="Arial"/>
                <w:b w:val="0"/>
                <w:i w:val="0"/>
                <w:color w:val="222222"/>
                <w:sz w:val="20"/>
              </w:rPr>
              <w:t>Ensemble des lignes de balance ou d’export comptable à analyser.</w:t>
            </w:r>
          </w:p>
        </w:tc>
      </w:tr>
    </w:tbl>
    <w:p>
      <w:pPr>
        <w:spacing w:after="120" w:before="320" w:line="276" w:lineRule="auto"/>
        <w:jc w:val="left"/>
      </w:pPr>
      <w:r>
        <w:rPr>
          <w:rFonts w:ascii="Arial" w:hAnsi="Arial"/>
          <w:b/>
          <w:i w:val="0"/>
          <w:color w:val="163556"/>
          <w:sz w:val="32"/>
        </w:rPr>
        <w:t>8. Protection des données / PII</w:t>
      </w:r>
    </w:p>
    <w:p>
      <w:pPr>
        <w:spacing w:after="120" w:before="0" w:line="276" w:lineRule="auto"/>
        <w:jc w:val="left"/>
      </w:pPr>
      <w:r>
        <w:rPr>
          <w:rFonts w:ascii="Arial" w:hAnsi="Arial"/>
          <w:b w:val="0"/>
          <w:i w:val="0"/>
          <w:color w:val="222222"/>
          <w:sz w:val="22"/>
        </w:rPr>
        <w:t>Pour tenir compte des données sensibles en contexte bancaire, le workflow applique une pseudonymisation avant l’étape IA. Cette approche réduit l’exposition des données à caractère personnel tout en conservant les informations strictement nécessaires à l’analyse des écarts.</w:t>
      </w:r>
    </w:p>
    <w:p>
      <w:pPr>
        <w:pStyle w:val="ListBullet"/>
        <w:spacing w:after="80" w:before="0" w:line="276" w:lineRule="auto"/>
        <w:jc w:val="left"/>
      </w:pPr>
      <w:r>
        <w:rPr>
          <w:rFonts w:ascii="Arial" w:hAnsi="Arial"/>
          <w:b w:val="0"/>
          <w:i w:val="0"/>
          <w:color w:val="222222"/>
          <w:sz w:val="22"/>
        </w:rPr>
        <w:t>Le workflow ne transmet au modèle IA que des anomalies pseudonymisées et des KPI agrégés.</w:t>
      </w:r>
    </w:p>
    <w:p>
      <w:pPr>
        <w:pStyle w:val="ListBullet"/>
        <w:spacing w:after="80" w:before="0" w:line="276" w:lineRule="auto"/>
        <w:jc w:val="left"/>
      </w:pPr>
      <w:r>
        <w:rPr>
          <w:rFonts w:ascii="Arial" w:hAnsi="Arial"/>
          <w:b w:val="0"/>
          <w:i w:val="0"/>
          <w:color w:val="222222"/>
          <w:sz w:val="22"/>
        </w:rPr>
        <w:t>Le nom de l’établissement, les références détaillées, les e-mails, les téléphones et les identifiants longs sont masqués ou généricisés avant l’appel IA.</w:t>
      </w:r>
    </w:p>
    <w:p>
      <w:pPr>
        <w:pStyle w:val="ListBullet"/>
        <w:spacing w:after="80" w:before="0" w:line="276" w:lineRule="auto"/>
        <w:jc w:val="left"/>
      </w:pPr>
      <w:r>
        <w:rPr>
          <w:rFonts w:ascii="Arial" w:hAnsi="Arial"/>
          <w:b w:val="0"/>
          <w:i w:val="0"/>
          <w:color w:val="222222"/>
          <w:sz w:val="22"/>
        </w:rPr>
        <w:t>Les informations utiles à l’analyse restent disponibles pour les équipes internes dans le flux n8n, sous contrôle d’accès approprié.</w:t>
      </w:r>
    </w:p>
    <w:p>
      <w:pPr>
        <w:pStyle w:val="ListBullet"/>
        <w:spacing w:after="80" w:before="0" w:line="276" w:lineRule="auto"/>
        <w:jc w:val="left"/>
      </w:pPr>
      <w:r>
        <w:rPr>
          <w:rFonts w:ascii="Arial" w:hAnsi="Arial"/>
          <w:b w:val="0"/>
          <w:i w:val="0"/>
          <w:color w:val="222222"/>
          <w:sz w:val="22"/>
        </w:rPr>
        <w:t>La validation humaine reste obligatoire avant toute diffusion officielle ou tout arbitrage de gestion.</w:t>
      </w:r>
    </w:p>
    <w:p>
      <w:pPr>
        <w:spacing w:after="120" w:before="200" w:line="276" w:lineRule="auto"/>
        <w:jc w:val="left"/>
      </w:pPr>
      <w:r>
        <w:rPr>
          <w:rFonts w:ascii="Arial" w:hAnsi="Arial"/>
          <w:b/>
          <w:i w:val="0"/>
          <w:color w:val="163556"/>
          <w:sz w:val="26"/>
        </w:rPr>
        <w:t>8.1 Champs à masquer ou à pseudonymiser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vAlign w:val="center"/>
            <w:shd w:fill="EDEDED"/>
          </w:tcPr>
          <w:p>
            <w:pPr>
              <w:spacing w:after="60" w:before="60" w:line="276" w:lineRule="auto"/>
              <w:jc w:val="left"/>
            </w:pPr>
            <w:r>
              <w:rPr>
                <w:rFonts w:ascii="Arial" w:hAnsi="Arial"/>
                <w:b/>
                <w:i w:val="0"/>
                <w:color w:val="222222"/>
                <w:sz w:val="21"/>
              </w:rPr>
              <w:t>Champ ou catégorie</w:t>
            </w:r>
          </w:p>
        </w:tc>
        <w:tc>
          <w:tcPr>
            <w:tcW w:type="dxa" w:w="2592"/>
            <w:vAlign w:val="center"/>
            <w:shd w:fill="EDEDED"/>
          </w:tcPr>
          <w:p>
            <w:pPr>
              <w:spacing w:after="60" w:before="60" w:line="276" w:lineRule="auto"/>
              <w:jc w:val="left"/>
            </w:pPr>
            <w:r>
              <w:rPr>
                <w:rFonts w:ascii="Arial" w:hAnsi="Arial"/>
                <w:b/>
                <w:i w:val="0"/>
                <w:color w:val="222222"/>
                <w:sz w:val="21"/>
              </w:rPr>
              <w:t>Traitement recommandé</w:t>
            </w:r>
          </w:p>
        </w:tc>
        <w:tc>
          <w:tcPr>
            <w:tcW w:type="dxa" w:w="4176"/>
            <w:vAlign w:val="center"/>
            <w:shd w:fill="EDEDED"/>
          </w:tcPr>
          <w:p>
            <w:pPr>
              <w:spacing w:after="60" w:before="60" w:line="276" w:lineRule="auto"/>
              <w:jc w:val="left"/>
            </w:pPr>
            <w:r>
              <w:rPr>
                <w:rFonts w:ascii="Arial" w:hAnsi="Arial"/>
                <w:b/>
                <w:i w:val="0"/>
                <w:color w:val="222222"/>
                <w:sz w:val="21"/>
              </w:rPr>
              <w:t>Justification</w:t>
            </w:r>
          </w:p>
        </w:tc>
      </w:tr>
      <w:tr>
        <w:tc>
          <w:tcPr>
            <w:tcW w:type="dxa" w:w="2592"/>
            <w:vAlign w:val="center"/>
          </w:tcPr>
          <w:p>
            <w:pPr>
              <w:spacing w:after="60" w:before="60" w:line="276" w:lineRule="auto"/>
              <w:jc w:val="left"/>
            </w:pPr>
            <w:r>
              <w:rPr>
                <w:rFonts w:ascii="Arial" w:hAnsi="Arial"/>
                <w:b w:val="0"/>
                <w:i w:val="0"/>
                <w:color w:val="222222"/>
                <w:sz w:val="20"/>
              </w:rPr>
              <w:t>Nom de banque ou d’entité</w:t>
            </w:r>
          </w:p>
        </w:tc>
        <w:tc>
          <w:tcPr>
            <w:tcW w:type="dxa" w:w="2592"/>
            <w:vAlign w:val="center"/>
          </w:tcPr>
          <w:p>
            <w:pPr>
              <w:spacing w:after="60" w:before="60" w:line="276" w:lineRule="auto"/>
              <w:jc w:val="left"/>
            </w:pPr>
            <w:r>
              <w:rPr>
                <w:rFonts w:ascii="Arial" w:hAnsi="Arial"/>
                <w:b w:val="0"/>
                <w:i w:val="0"/>
                <w:color w:val="222222"/>
                <w:sz w:val="20"/>
              </w:rPr>
              <w:t>Génériciser pour l’IA</w:t>
            </w:r>
          </w:p>
        </w:tc>
        <w:tc>
          <w:tcPr>
            <w:tcW w:type="dxa" w:w="4176"/>
            <w:vAlign w:val="center"/>
          </w:tcPr>
          <w:p>
            <w:pPr>
              <w:spacing w:after="60" w:before="60" w:line="276" w:lineRule="auto"/>
              <w:jc w:val="left"/>
            </w:pPr>
            <w:r>
              <w:rPr>
                <w:rFonts w:ascii="Arial" w:hAnsi="Arial"/>
                <w:b w:val="0"/>
                <w:i w:val="0"/>
                <w:color w:val="222222"/>
                <w:sz w:val="20"/>
              </w:rPr>
              <w:t>Le modèle n’a pas besoin du nom exact de l’établissement pour commenter les écarts.</w:t>
            </w:r>
          </w:p>
        </w:tc>
      </w:tr>
      <w:tr>
        <w:tc>
          <w:tcPr>
            <w:tcW w:type="dxa" w:w="2592"/>
            <w:vAlign w:val="center"/>
          </w:tcPr>
          <w:p>
            <w:pPr>
              <w:spacing w:after="60" w:before="60" w:line="276" w:lineRule="auto"/>
              <w:jc w:val="left"/>
            </w:pPr>
            <w:r>
              <w:rPr>
                <w:rFonts w:ascii="Arial" w:hAnsi="Arial"/>
                <w:b w:val="0"/>
                <w:i w:val="0"/>
                <w:color w:val="222222"/>
                <w:sz w:val="20"/>
              </w:rPr>
              <w:t>Nom de client ou de collaborateur</w:t>
            </w:r>
          </w:p>
        </w:tc>
        <w:tc>
          <w:tcPr>
            <w:tcW w:type="dxa" w:w="2592"/>
            <w:vAlign w:val="center"/>
          </w:tcPr>
          <w:p>
            <w:pPr>
              <w:spacing w:after="60" w:before="60" w:line="276" w:lineRule="auto"/>
              <w:jc w:val="left"/>
            </w:pPr>
            <w:r>
              <w:rPr>
                <w:rFonts w:ascii="Arial" w:hAnsi="Arial"/>
                <w:b w:val="0"/>
                <w:i w:val="0"/>
                <w:color w:val="222222"/>
                <w:sz w:val="20"/>
              </w:rPr>
              <w:t>Masquer ou remplacer par un alias</w:t>
            </w:r>
          </w:p>
        </w:tc>
        <w:tc>
          <w:tcPr>
            <w:tcW w:type="dxa" w:w="4176"/>
            <w:vAlign w:val="center"/>
          </w:tcPr>
          <w:p>
            <w:pPr>
              <w:spacing w:after="60" w:before="60" w:line="276" w:lineRule="auto"/>
              <w:jc w:val="left"/>
            </w:pPr>
            <w:r>
              <w:rPr>
                <w:rFonts w:ascii="Arial" w:hAnsi="Arial"/>
                <w:b w:val="0"/>
                <w:i w:val="0"/>
                <w:color w:val="222222"/>
                <w:sz w:val="20"/>
              </w:rPr>
              <w:t>Réduit l’exposition de données à caractère personnel.</w:t>
            </w:r>
          </w:p>
        </w:tc>
      </w:tr>
      <w:tr>
        <w:tc>
          <w:tcPr>
            <w:tcW w:type="dxa" w:w="2592"/>
            <w:vAlign w:val="center"/>
          </w:tcPr>
          <w:p>
            <w:pPr>
              <w:spacing w:after="60" w:before="60" w:line="276" w:lineRule="auto"/>
              <w:jc w:val="left"/>
            </w:pPr>
            <w:r>
              <w:rPr>
                <w:rFonts w:ascii="Arial" w:hAnsi="Arial"/>
                <w:b w:val="0"/>
                <w:i w:val="0"/>
                <w:color w:val="222222"/>
                <w:sz w:val="20"/>
              </w:rPr>
              <w:t>Numéro de compte ou identifiant long</w:t>
            </w:r>
          </w:p>
        </w:tc>
        <w:tc>
          <w:tcPr>
            <w:tcW w:type="dxa" w:w="2592"/>
            <w:vAlign w:val="center"/>
          </w:tcPr>
          <w:p>
            <w:pPr>
              <w:spacing w:after="60" w:before="60" w:line="276" w:lineRule="auto"/>
              <w:jc w:val="left"/>
            </w:pPr>
            <w:r>
              <w:rPr>
                <w:rFonts w:ascii="Arial" w:hAnsi="Arial"/>
                <w:b w:val="0"/>
                <w:i w:val="0"/>
                <w:color w:val="222222"/>
                <w:sz w:val="20"/>
              </w:rPr>
              <w:t>Tronquer ou remplacer par une référence interne</w:t>
            </w:r>
          </w:p>
        </w:tc>
        <w:tc>
          <w:tcPr>
            <w:tcW w:type="dxa" w:w="4176"/>
            <w:vAlign w:val="center"/>
          </w:tcPr>
          <w:p>
            <w:pPr>
              <w:spacing w:after="60" w:before="60" w:line="276" w:lineRule="auto"/>
              <w:jc w:val="left"/>
            </w:pPr>
            <w:r>
              <w:rPr>
                <w:rFonts w:ascii="Arial" w:hAnsi="Arial"/>
                <w:b w:val="0"/>
                <w:i w:val="0"/>
                <w:color w:val="222222"/>
                <w:sz w:val="20"/>
              </w:rPr>
              <w:t>Conserve un repère sans exposer l’identifiant complet.</w:t>
            </w:r>
          </w:p>
        </w:tc>
      </w:tr>
      <w:tr>
        <w:tc>
          <w:tcPr>
            <w:tcW w:type="dxa" w:w="2592"/>
            <w:vAlign w:val="center"/>
          </w:tcPr>
          <w:p>
            <w:pPr>
              <w:spacing w:after="60" w:before="60" w:line="276" w:lineRule="auto"/>
              <w:jc w:val="left"/>
            </w:pPr>
            <w:r>
              <w:rPr>
                <w:rFonts w:ascii="Arial" w:hAnsi="Arial"/>
                <w:b w:val="0"/>
                <w:i w:val="0"/>
                <w:color w:val="222222"/>
                <w:sz w:val="20"/>
              </w:rPr>
              <w:t>E-mail, téléphone, adresse</w:t>
            </w:r>
          </w:p>
        </w:tc>
        <w:tc>
          <w:tcPr>
            <w:tcW w:type="dxa" w:w="2592"/>
            <w:vAlign w:val="center"/>
          </w:tcPr>
          <w:p>
            <w:pPr>
              <w:spacing w:after="60" w:before="60" w:line="276" w:lineRule="auto"/>
              <w:jc w:val="left"/>
            </w:pPr>
            <w:r>
              <w:rPr>
                <w:rFonts w:ascii="Arial" w:hAnsi="Arial"/>
                <w:b w:val="0"/>
                <w:i w:val="0"/>
                <w:color w:val="222222"/>
                <w:sz w:val="20"/>
              </w:rPr>
              <w:t>Masquer systématiquement</w:t>
            </w:r>
          </w:p>
        </w:tc>
        <w:tc>
          <w:tcPr>
            <w:tcW w:type="dxa" w:w="4176"/>
            <w:vAlign w:val="center"/>
          </w:tcPr>
          <w:p>
            <w:pPr>
              <w:spacing w:after="60" w:before="60" w:line="276" w:lineRule="auto"/>
              <w:jc w:val="left"/>
            </w:pPr>
            <w:r>
              <w:rPr>
                <w:rFonts w:ascii="Arial" w:hAnsi="Arial"/>
                <w:b w:val="0"/>
                <w:i w:val="0"/>
                <w:color w:val="222222"/>
                <w:sz w:val="20"/>
              </w:rPr>
              <w:t>Ces données ne sont pas nécessaires à la synthèse managériale.</w:t>
            </w:r>
          </w:p>
        </w:tc>
      </w:tr>
      <w:tr>
        <w:tc>
          <w:tcPr>
            <w:tcW w:type="dxa" w:w="2592"/>
            <w:vAlign w:val="center"/>
          </w:tcPr>
          <w:p>
            <w:pPr>
              <w:spacing w:after="60" w:before="60" w:line="276" w:lineRule="auto"/>
              <w:jc w:val="left"/>
            </w:pPr>
            <w:r>
              <w:rPr>
                <w:rFonts w:ascii="Arial" w:hAnsi="Arial"/>
                <w:b w:val="0"/>
                <w:i w:val="0"/>
                <w:color w:val="222222"/>
                <w:sz w:val="20"/>
              </w:rPr>
              <w:t>Libellés libres</w:t>
            </w:r>
          </w:p>
        </w:tc>
        <w:tc>
          <w:tcPr>
            <w:tcW w:type="dxa" w:w="2592"/>
            <w:vAlign w:val="center"/>
          </w:tcPr>
          <w:p>
            <w:pPr>
              <w:spacing w:after="60" w:before="60" w:line="276" w:lineRule="auto"/>
              <w:jc w:val="left"/>
            </w:pPr>
            <w:r>
              <w:rPr>
                <w:rFonts w:ascii="Arial" w:hAnsi="Arial"/>
                <w:b w:val="0"/>
                <w:i w:val="0"/>
                <w:color w:val="222222"/>
                <w:sz w:val="20"/>
              </w:rPr>
              <w:t>Nettoyer si des données personnelles y figurent</w:t>
            </w:r>
          </w:p>
        </w:tc>
        <w:tc>
          <w:tcPr>
            <w:tcW w:type="dxa" w:w="4176"/>
            <w:vAlign w:val="center"/>
          </w:tcPr>
          <w:p>
            <w:pPr>
              <w:spacing w:after="60" w:before="60" w:line="276" w:lineRule="auto"/>
              <w:jc w:val="left"/>
            </w:pPr>
            <w:r>
              <w:rPr>
                <w:rFonts w:ascii="Arial" w:hAnsi="Arial"/>
                <w:b w:val="0"/>
                <w:i w:val="0"/>
                <w:color w:val="222222"/>
                <w:sz w:val="20"/>
              </w:rPr>
              <w:t>Évite qu’une donnée sensible remonte dans le prompt IA.</w:t>
            </w:r>
          </w:p>
        </w:tc>
      </w:tr>
    </w:tbl>
    <w:p>
      <w:pPr>
        <w:spacing w:after="120" w:before="320" w:line="276" w:lineRule="auto"/>
        <w:jc w:val="left"/>
      </w:pPr>
      <w:r>
        <w:rPr>
          <w:rFonts w:ascii="Arial" w:hAnsi="Arial"/>
          <w:b/>
          <w:i w:val="0"/>
          <w:color w:val="163556"/>
          <w:sz w:val="32"/>
        </w:rPr>
        <w:t>9. Exemple de cas concret pour une banque en Côte d’Ivoire</w:t>
      </w:r>
    </w:p>
    <w:p>
      <w:pPr>
        <w:spacing w:after="120" w:before="0" w:line="276" w:lineRule="auto"/>
        <w:jc w:val="left"/>
      </w:pPr>
      <w:r>
        <w:rPr>
          <w:rFonts w:ascii="Arial" w:hAnsi="Arial"/>
          <w:b w:val="0"/>
          <w:i w:val="0"/>
          <w:color w:val="222222"/>
          <w:sz w:val="22"/>
        </w:rPr>
        <w:t>Une banque participante réalise sa pré-clôture mensuelle sur un export comptable transmis par la direction financière. Le workflow identifie plusieurs écarts inhabituels, dont un compte d’attente sur opérations cartes, une TVA à régulariser et des charges diverses à justifier. L’IA produit alors une note courte indiquant ce qui a bougé, ce qui doit être revu immédiatement, ce qui peut attendre et ce qui doit être remonté au manager.</w:t>
      </w:r>
    </w:p>
    <w:p>
      <w:pPr>
        <w:spacing w:after="120" w:before="0" w:line="276" w:lineRule="auto"/>
        <w:jc w:val="left"/>
      </w:pPr>
      <w:r>
        <w:rPr>
          <w:rFonts w:ascii="Arial" w:hAnsi="Arial"/>
          <w:b w:val="0"/>
          <w:i w:val="0"/>
          <w:color w:val="222222"/>
          <w:sz w:val="22"/>
        </w:rPr>
        <w:t>Le responsable du contrôle financier reçoit un e-mail de validation. Après relecture et approbation, la synthèse finale est envoyée aux équipes concernées. Ce schéma reste compatible avec des usages hebdomadaires, mensuels ou ad hoc selon l’organisation de la banque.</w:t>
      </w:r>
    </w:p>
    <w:p>
      <w:pPr>
        <w:spacing w:after="120" w:before="0" w:line="276" w:lineRule="auto"/>
        <w:jc w:val="left"/>
      </w:pPr>
      <w:r>
        <w:rPr>
          <w:rFonts w:ascii="Arial" w:hAnsi="Arial"/>
          <w:b w:val="0"/>
          <w:i w:val="0"/>
          <w:color w:val="222222"/>
          <w:sz w:val="22"/>
        </w:rPr>
        <w:t>Dans cette configuration, la synthèse IA est générée à partir de données pseudonymisées, ce qui permet de limiter la circulation des informations sensibles tout en maintenant la valeur opérationnelle du commentaire.</w:t>
      </w:r>
    </w:p>
    <w:p>
      <w:pPr>
        <w:spacing w:after="120" w:before="320" w:line="276" w:lineRule="auto"/>
        <w:jc w:val="left"/>
      </w:pPr>
      <w:r>
        <w:rPr>
          <w:rFonts w:ascii="Arial" w:hAnsi="Arial"/>
          <w:b/>
          <w:i w:val="0"/>
          <w:color w:val="163556"/>
          <w:sz w:val="32"/>
        </w:rPr>
        <w:t>10. Étapes de mise en place dans n8n</w:t>
      </w:r>
    </w:p>
    <w:p>
      <w:pPr>
        <w:pStyle w:val="ListNumber"/>
        <w:spacing w:after="80" w:before="0" w:line="276" w:lineRule="auto"/>
        <w:jc w:val="left"/>
      </w:pPr>
      <w:r>
        <w:rPr>
          <w:rFonts w:ascii="Arial" w:hAnsi="Arial"/>
          <w:b w:val="0"/>
          <w:i w:val="0"/>
          <w:color w:val="222222"/>
          <w:sz w:val="22"/>
        </w:rPr>
        <w:t>Importer le fichier JSON exportable dans n8n.</w:t>
      </w:r>
    </w:p>
    <w:p>
      <w:pPr>
        <w:pStyle w:val="ListNumber"/>
        <w:spacing w:after="80" w:before="0" w:line="276" w:lineRule="auto"/>
        <w:jc w:val="left"/>
      </w:pPr>
      <w:r>
        <w:rPr>
          <w:rFonts w:ascii="Arial" w:hAnsi="Arial"/>
          <w:b w:val="0"/>
          <w:i w:val="0"/>
          <w:color w:val="222222"/>
          <w:sz w:val="22"/>
        </w:rPr>
        <w:t>Vérifier le nom du workflow et l’activer en mode brouillon.</w:t>
      </w:r>
    </w:p>
    <w:p>
      <w:pPr>
        <w:pStyle w:val="ListNumber"/>
        <w:spacing w:after="80" w:before="0" w:line="276" w:lineRule="auto"/>
        <w:jc w:val="left"/>
      </w:pPr>
      <w:r>
        <w:rPr>
          <w:rFonts w:ascii="Arial" w:hAnsi="Arial"/>
          <w:b w:val="0"/>
          <w:i w:val="0"/>
          <w:color w:val="222222"/>
          <w:sz w:val="22"/>
        </w:rPr>
        <w:t>Configurer les variables d’environnement OPENAI_API_KEY, RESEND_API_KEY et N8N_BASE_URL.</w:t>
      </w:r>
    </w:p>
    <w:p>
      <w:pPr>
        <w:pStyle w:val="ListNumber"/>
        <w:spacing w:after="80" w:before="0" w:line="276" w:lineRule="auto"/>
        <w:jc w:val="left"/>
      </w:pPr>
      <w:r>
        <w:rPr>
          <w:rFonts w:ascii="Arial" w:hAnsi="Arial"/>
          <w:b w:val="0"/>
          <w:i w:val="0"/>
          <w:color w:val="222222"/>
          <w:sz w:val="22"/>
        </w:rPr>
        <w:t>Adapter les adresses e-mail par défaut aux destinataires du client.</w:t>
      </w:r>
    </w:p>
    <w:p>
      <w:pPr>
        <w:pStyle w:val="ListNumber"/>
        <w:spacing w:after="80" w:before="0" w:line="276" w:lineRule="auto"/>
        <w:jc w:val="left"/>
      </w:pPr>
      <w:r>
        <w:rPr>
          <w:rFonts w:ascii="Arial" w:hAnsi="Arial"/>
          <w:b w:val="0"/>
          <w:i w:val="0"/>
          <w:color w:val="222222"/>
          <w:sz w:val="22"/>
        </w:rPr>
        <w:t>Vérifier les règles de pseudonymisation et confirmer les champs sensibles à masquer selon la politique interne du client.</w:t>
      </w:r>
    </w:p>
    <w:p>
      <w:pPr>
        <w:pStyle w:val="ListNumber"/>
        <w:spacing w:after="80" w:before="0" w:line="276" w:lineRule="auto"/>
        <w:jc w:val="left"/>
      </w:pPr>
      <w:r>
        <w:rPr>
          <w:rFonts w:ascii="Arial" w:hAnsi="Arial"/>
          <w:b w:val="0"/>
          <w:i w:val="0"/>
          <w:color w:val="222222"/>
          <w:sz w:val="22"/>
        </w:rPr>
        <w:t>Tester d’abord le workflow avec le nœud « Trigger manuel » et le jeu de données de démonstration.</w:t>
      </w:r>
    </w:p>
    <w:p>
      <w:pPr>
        <w:pStyle w:val="ListNumber"/>
        <w:spacing w:after="80" w:before="0" w:line="276" w:lineRule="auto"/>
        <w:jc w:val="left"/>
      </w:pPr>
      <w:r>
        <w:rPr>
          <w:rFonts w:ascii="Arial" w:hAnsi="Arial"/>
          <w:b w:val="0"/>
          <w:i w:val="0"/>
          <w:color w:val="222222"/>
          <w:sz w:val="22"/>
        </w:rPr>
        <w:t>Tester ensuite le webhook avec un payload réel ou simulé envoyé en HTTP POST.</w:t>
      </w:r>
    </w:p>
    <w:p>
      <w:pPr>
        <w:pStyle w:val="ListNumber"/>
        <w:spacing w:after="80" w:before="0" w:line="276" w:lineRule="auto"/>
        <w:jc w:val="left"/>
      </w:pPr>
      <w:r>
        <w:rPr>
          <w:rFonts w:ascii="Arial" w:hAnsi="Arial"/>
          <w:b w:val="0"/>
          <w:i w:val="0"/>
          <w:color w:val="222222"/>
          <w:sz w:val="22"/>
        </w:rPr>
        <w:t>Vérifier la réception de l’e-mail de validation et le fonctionnement du lien d’approbation.</w:t>
      </w:r>
    </w:p>
    <w:p>
      <w:pPr>
        <w:pStyle w:val="ListNumber"/>
        <w:spacing w:after="80" w:before="0" w:line="276" w:lineRule="auto"/>
        <w:jc w:val="left"/>
      </w:pPr>
      <w:r>
        <w:rPr>
          <w:rFonts w:ascii="Arial" w:hAnsi="Arial"/>
          <w:b w:val="0"/>
          <w:i w:val="0"/>
          <w:color w:val="222222"/>
          <w:sz w:val="22"/>
        </w:rPr>
        <w:t>Confirmer que la synthèse finale n’est envoyée qu’après validation humaine.</w:t>
      </w:r>
    </w:p>
    <w:p>
      <w:pPr>
        <w:spacing w:after="120" w:before="320" w:line="276" w:lineRule="auto"/>
        <w:jc w:val="left"/>
      </w:pPr>
      <w:r>
        <w:rPr>
          <w:rFonts w:ascii="Arial" w:hAnsi="Arial"/>
          <w:b/>
          <w:i w:val="0"/>
          <w:color w:val="163556"/>
          <w:sz w:val="32"/>
        </w:rPr>
        <w:t>11. Paramètres à adapter avant production</w:t>
      </w:r>
    </w:p>
    <w:p>
      <w:pPr>
        <w:pStyle w:val="ListBullet"/>
        <w:spacing w:after="80" w:before="0" w:line="276" w:lineRule="auto"/>
        <w:jc w:val="left"/>
      </w:pPr>
      <w:r>
        <w:rPr>
          <w:rFonts w:ascii="Arial" w:hAnsi="Arial"/>
          <w:b w:val="0"/>
          <w:i w:val="0"/>
          <w:color w:val="222222"/>
          <w:sz w:val="22"/>
        </w:rPr>
        <w:t>Le nom de l’entité bancaire et les adresses des destinataires.</w:t>
      </w:r>
    </w:p>
    <w:p>
      <w:pPr>
        <w:pStyle w:val="ListBullet"/>
        <w:spacing w:after="80" w:before="0" w:line="276" w:lineRule="auto"/>
        <w:jc w:val="left"/>
      </w:pPr>
      <w:r>
        <w:rPr>
          <w:rFonts w:ascii="Arial" w:hAnsi="Arial"/>
          <w:b w:val="0"/>
          <w:i w:val="0"/>
          <w:color w:val="222222"/>
          <w:sz w:val="22"/>
        </w:rPr>
        <w:t>Les seuils absolus et relatifs de détection des écarts.</w:t>
      </w:r>
    </w:p>
    <w:p>
      <w:pPr>
        <w:pStyle w:val="ListBullet"/>
        <w:spacing w:after="80" w:before="0" w:line="276" w:lineRule="auto"/>
        <w:jc w:val="left"/>
      </w:pPr>
      <w:r>
        <w:rPr>
          <w:rFonts w:ascii="Arial" w:hAnsi="Arial"/>
          <w:b w:val="0"/>
          <w:i w:val="0"/>
          <w:color w:val="222222"/>
          <w:sz w:val="22"/>
        </w:rPr>
        <w:t>La liste des champs sensibles à masquer ou à tronquer avant l’étape IA.</w:t>
      </w:r>
    </w:p>
    <w:p>
      <w:pPr>
        <w:pStyle w:val="ListBullet"/>
        <w:spacing w:after="80" w:before="0" w:line="276" w:lineRule="auto"/>
        <w:jc w:val="left"/>
      </w:pPr>
      <w:r>
        <w:rPr>
          <w:rFonts w:ascii="Arial" w:hAnsi="Arial"/>
          <w:b w:val="0"/>
          <w:i w:val="0"/>
          <w:color w:val="222222"/>
          <w:sz w:val="22"/>
        </w:rPr>
        <w:t>Le contenu du commentaire managérial généré par l’IA si un ton spécifique est attendu.</w:t>
      </w:r>
    </w:p>
    <w:p>
      <w:pPr>
        <w:pStyle w:val="ListBullet"/>
        <w:spacing w:after="80" w:before="0" w:line="276" w:lineRule="auto"/>
        <w:jc w:val="left"/>
      </w:pPr>
      <w:r>
        <w:rPr>
          <w:rFonts w:ascii="Arial" w:hAnsi="Arial"/>
          <w:b w:val="0"/>
          <w:i w:val="0"/>
          <w:color w:val="222222"/>
          <w:sz w:val="22"/>
        </w:rPr>
        <w:t>Le canal de diffusion final : e-mail, espace partagé, ou autre système interne.</w:t>
      </w:r>
    </w:p>
    <w:p>
      <w:pPr>
        <w:pStyle w:val="ListBullet"/>
        <w:spacing w:after="80" w:before="0" w:line="276" w:lineRule="auto"/>
        <w:jc w:val="left"/>
      </w:pPr>
      <w:r>
        <w:rPr>
          <w:rFonts w:ascii="Arial" w:hAnsi="Arial"/>
          <w:b w:val="0"/>
          <w:i w:val="0"/>
          <w:color w:val="222222"/>
          <w:sz w:val="22"/>
        </w:rPr>
        <w:t>Le mode de déclenchement : manuel, webhook, dépôt de fichier ou intégration applicative.</w:t>
      </w:r>
    </w:p>
    <w:p>
      <w:pPr>
        <w:spacing w:after="120" w:before="320" w:line="276" w:lineRule="auto"/>
        <w:jc w:val="left"/>
      </w:pPr>
      <w:r>
        <w:rPr>
          <w:rFonts w:ascii="Arial" w:hAnsi="Arial"/>
          <w:b/>
          <w:i w:val="0"/>
          <w:color w:val="163556"/>
          <w:sz w:val="32"/>
        </w:rPr>
        <w:t>12. Procédure de test recommandée</w:t>
      </w:r>
    </w:p>
    <w:p>
      <w:pPr>
        <w:pStyle w:val="ListBullet"/>
        <w:spacing w:after="80" w:before="0" w:line="276" w:lineRule="auto"/>
        <w:jc w:val="left"/>
      </w:pPr>
      <w:r>
        <w:rPr>
          <w:rFonts w:ascii="Arial" w:hAnsi="Arial"/>
          <w:b w:val="0"/>
          <w:i w:val="0"/>
          <w:color w:val="222222"/>
          <w:sz w:val="22"/>
        </w:rPr>
        <w:t>Lancer le workflow avec les données de démonstration pour valider la logique générale.</w:t>
      </w:r>
    </w:p>
    <w:p>
      <w:pPr>
        <w:pStyle w:val="ListBullet"/>
        <w:spacing w:after="80" w:before="0" w:line="276" w:lineRule="auto"/>
        <w:jc w:val="left"/>
      </w:pPr>
      <w:r>
        <w:rPr>
          <w:rFonts w:ascii="Arial" w:hAnsi="Arial"/>
          <w:b w:val="0"/>
          <w:i w:val="0"/>
          <w:color w:val="222222"/>
          <w:sz w:val="22"/>
        </w:rPr>
        <w:t>Envoyer un payload webhook contenant des lignes réelles anonymisées ou des données de test proches du réel.</w:t>
      </w:r>
    </w:p>
    <w:p>
      <w:pPr>
        <w:pStyle w:val="ListBullet"/>
        <w:spacing w:after="80" w:before="0" w:line="276" w:lineRule="auto"/>
        <w:jc w:val="left"/>
      </w:pPr>
      <w:r>
        <w:rPr>
          <w:rFonts w:ascii="Arial" w:hAnsi="Arial"/>
          <w:b w:val="0"/>
          <w:i w:val="0"/>
          <w:color w:val="222222"/>
          <w:sz w:val="22"/>
        </w:rPr>
        <w:t>Vérifier que les e-mails, numéros, identifiants longs et libellés sensibles sont bien masqués avant l’étape IA.</w:t>
      </w:r>
    </w:p>
    <w:p>
      <w:pPr>
        <w:pStyle w:val="ListBullet"/>
        <w:spacing w:after="80" w:before="0" w:line="276" w:lineRule="auto"/>
        <w:jc w:val="left"/>
      </w:pPr>
      <w:r>
        <w:rPr>
          <w:rFonts w:ascii="Arial" w:hAnsi="Arial"/>
          <w:b w:val="0"/>
          <w:i w:val="0"/>
          <w:color w:val="222222"/>
          <w:sz w:val="22"/>
        </w:rPr>
        <w:t>Vérifier que les anomalies remontées correspondent bien aux règles métier attendues.</w:t>
      </w:r>
    </w:p>
    <w:p>
      <w:pPr>
        <w:pStyle w:val="ListBullet"/>
        <w:spacing w:after="80" w:before="0" w:line="276" w:lineRule="auto"/>
        <w:jc w:val="left"/>
      </w:pPr>
      <w:r>
        <w:rPr>
          <w:rFonts w:ascii="Arial" w:hAnsi="Arial"/>
          <w:b w:val="0"/>
          <w:i w:val="0"/>
          <w:color w:val="222222"/>
          <w:sz w:val="22"/>
        </w:rPr>
        <w:t>Contrôler la qualité de la synthèse générée en français professionnel.</w:t>
      </w:r>
    </w:p>
    <w:p>
      <w:pPr>
        <w:pStyle w:val="ListBullet"/>
        <w:spacing w:after="80" w:before="0" w:line="276" w:lineRule="auto"/>
        <w:jc w:val="left"/>
      </w:pPr>
      <w:r>
        <w:rPr>
          <w:rFonts w:ascii="Arial" w:hAnsi="Arial"/>
          <w:b w:val="0"/>
          <w:i w:val="0"/>
          <w:color w:val="222222"/>
          <w:sz w:val="22"/>
        </w:rPr>
        <w:t>Tester le refus d’approbation afin de vérifier qu’aucune diffusion finale n’est déclenchée.</w:t>
      </w:r>
    </w:p>
    <w:p>
      <w:pPr>
        <w:pStyle w:val="ListBullet"/>
        <w:spacing w:after="80" w:before="0" w:line="276" w:lineRule="auto"/>
        <w:jc w:val="left"/>
      </w:pPr>
      <w:r>
        <w:rPr>
          <w:rFonts w:ascii="Arial" w:hAnsi="Arial"/>
          <w:b w:val="0"/>
          <w:i w:val="0"/>
          <w:color w:val="222222"/>
          <w:sz w:val="22"/>
        </w:rPr>
        <w:t>Tester l’approbation afin de vérifier la diffusion finale au bon périmètre.</w:t>
      </w:r>
    </w:p>
    <w:p>
      <w:pPr>
        <w:spacing w:after="120" w:before="320" w:line="276" w:lineRule="auto"/>
        <w:jc w:val="left"/>
      </w:pPr>
      <w:r>
        <w:rPr>
          <w:rFonts w:ascii="Arial" w:hAnsi="Arial"/>
          <w:b/>
          <w:i w:val="0"/>
          <w:color w:val="163556"/>
          <w:sz w:val="32"/>
        </w:rPr>
        <w:t>13. Checklist de mise en production</w:t>
      </w:r>
    </w:p>
    <w:p>
      <w:pPr>
        <w:pStyle w:val="ListBullet"/>
        <w:spacing w:after="80" w:before="0" w:line="276" w:lineRule="auto"/>
        <w:jc w:val="left"/>
      </w:pPr>
      <w:r>
        <w:rPr>
          <w:rFonts w:ascii="Arial" w:hAnsi="Arial"/>
          <w:b w:val="0"/>
          <w:i w:val="0"/>
          <w:color w:val="222222"/>
          <w:sz w:val="22"/>
        </w:rPr>
        <w:t>Les clés API sont présentes et fonctionnelles.</w:t>
      </w:r>
    </w:p>
    <w:p>
      <w:pPr>
        <w:pStyle w:val="ListBullet"/>
        <w:spacing w:after="80" w:before="0" w:line="276" w:lineRule="auto"/>
        <w:jc w:val="left"/>
      </w:pPr>
      <w:r>
        <w:rPr>
          <w:rFonts w:ascii="Arial" w:hAnsi="Arial"/>
          <w:b w:val="0"/>
          <w:i w:val="0"/>
          <w:color w:val="222222"/>
          <w:sz w:val="22"/>
        </w:rPr>
        <w:t>Les destinataires de validation et de diffusion ont été validés.</w:t>
      </w:r>
    </w:p>
    <w:p>
      <w:pPr>
        <w:pStyle w:val="ListBullet"/>
        <w:spacing w:after="80" w:before="0" w:line="276" w:lineRule="auto"/>
        <w:jc w:val="left"/>
      </w:pPr>
      <w:r>
        <w:rPr>
          <w:rFonts w:ascii="Arial" w:hAnsi="Arial"/>
          <w:b w:val="0"/>
          <w:i w:val="0"/>
          <w:color w:val="222222"/>
          <w:sz w:val="22"/>
        </w:rPr>
        <w:t>Le lien N8N_BASE_URL est accessible depuis la messagerie du valideur.</w:t>
      </w:r>
    </w:p>
    <w:p>
      <w:pPr>
        <w:pStyle w:val="ListBullet"/>
        <w:spacing w:after="80" w:before="0" w:line="276" w:lineRule="auto"/>
        <w:jc w:val="left"/>
      </w:pPr>
      <w:r>
        <w:rPr>
          <w:rFonts w:ascii="Arial" w:hAnsi="Arial"/>
          <w:b w:val="0"/>
          <w:i w:val="0"/>
          <w:color w:val="222222"/>
          <w:sz w:val="22"/>
        </w:rPr>
        <w:t>Les seuils d’écart ont été validés par la direction financière.</w:t>
      </w:r>
    </w:p>
    <w:p>
      <w:pPr>
        <w:pStyle w:val="ListBullet"/>
        <w:spacing w:after="80" w:before="0" w:line="276" w:lineRule="auto"/>
        <w:jc w:val="left"/>
      </w:pPr>
      <w:r>
        <w:rPr>
          <w:rFonts w:ascii="Arial" w:hAnsi="Arial"/>
          <w:b w:val="0"/>
          <w:i w:val="0"/>
          <w:color w:val="222222"/>
          <w:sz w:val="22"/>
        </w:rPr>
        <w:t>Les règles de pseudonymisation ont été validées par les équipes sécurité, conformité ou risque si nécessaire.</w:t>
      </w:r>
    </w:p>
    <w:p>
      <w:pPr>
        <w:pStyle w:val="ListBullet"/>
        <w:spacing w:after="80" w:before="0" w:line="276" w:lineRule="auto"/>
        <w:jc w:val="left"/>
      </w:pPr>
      <w:r>
        <w:rPr>
          <w:rFonts w:ascii="Arial" w:hAnsi="Arial"/>
          <w:b w:val="0"/>
          <w:i w:val="0"/>
          <w:color w:val="222222"/>
          <w:sz w:val="22"/>
        </w:rPr>
        <w:t>Le workflow a été testé sur un cas réel ou quasi réel.</w:t>
      </w:r>
    </w:p>
    <w:p>
      <w:pPr>
        <w:pStyle w:val="ListBullet"/>
        <w:spacing w:after="80" w:before="0" w:line="276" w:lineRule="auto"/>
        <w:jc w:val="left"/>
      </w:pPr>
      <w:r>
        <w:rPr>
          <w:rFonts w:ascii="Arial" w:hAnsi="Arial"/>
          <w:b w:val="0"/>
          <w:i w:val="0"/>
          <w:color w:val="222222"/>
          <w:sz w:val="22"/>
        </w:rPr>
        <w:t>La validation humaine a été maintenue comme étape obligatoire.</w:t>
      </w:r>
    </w:p>
    <w:p>
      <w:pPr>
        <w:spacing w:after="120" w:before="200" w:line="276" w:lineRule="auto"/>
        <w:jc w:val="left"/>
      </w:pPr>
      <w:r>
        <w:rPr>
          <w:rFonts w:ascii="Arial" w:hAnsi="Arial"/>
          <w:b/>
          <w:i w:val="0"/>
          <w:color w:val="163556"/>
          <w:sz w:val="26"/>
        </w:rPr>
        <w:t>14. Commande de test webhook</w:t>
      </w:r>
    </w:p>
    <w:p>
      <w:pPr>
        <w:spacing w:after="120" w:before="0" w:line="276" w:lineRule="auto"/>
        <w:jc w:val="left"/>
      </w:pPr>
      <w:r>
        <w:rPr>
          <w:rFonts w:ascii="Arial" w:hAnsi="Arial"/>
          <w:b w:val="0"/>
          <w:i w:val="0"/>
          <w:color w:val="222222"/>
          <w:sz w:val="22"/>
        </w:rPr>
        <w:t>La commande suivante peut être utilisée pour tester le webhook principal après import du workflow :</w:t>
      </w:r>
    </w:p>
    <w:tbl>
      <w:tblPr>
        <w:tblW w:type="auto" w:w="0"/>
        <w:jc w:val="center"/>
        <w:tblLayout w:type="fixed"/>
        <w:tblLook w:firstColumn="1" w:firstRow="1" w:lastColumn="0" w:lastRow="0" w:noHBand="0" w:noVBand="1" w:val="04A0"/>
      </w:tblPr>
      <w:tblGrid>
        <w:gridCol w:w="9360"/>
      </w:tblGrid>
      <w:tr>
        <w:tc>
          <w:tcPr>
            <w:tcW w:type="dxa" w:w="8928"/>
            <w:shd w:fill="F6F8FA"/>
          </w:tcPr>
          <w:p>
            <w:pPr>
              <w:spacing w:after="0" w:before="0" w:line="276" w:lineRule="auto"/>
              <w:jc w:val="left"/>
            </w:pPr>
            <w:r>
              <w:rPr>
                <w:rFonts w:ascii="Courier New" w:hAnsi="Courier New"/>
                <w:b w:val="0"/>
                <w:i w:val="0"/>
                <w:color w:val="222222"/>
                <w:sz w:val="19"/>
              </w:rPr>
              <w:t>curl -X POST "https://VOTRE_N8N/webhook/pre-cloture-bancaire-upload" \</w:t>
            </w:r>
            <w:r>
              <w:br/>
            </w:r>
            <w:r>
              <w:rPr>
                <w:rFonts w:ascii="Courier New" w:hAnsi="Courier New"/>
                <w:b w:val="0"/>
                <w:i w:val="0"/>
                <w:color w:val="222222"/>
                <w:sz w:val="19"/>
              </w:rPr>
              <w:t xml:space="preserve">  -H "Content-Type: application/json" \</w:t>
            </w:r>
            <w:r>
              <w:br/>
            </w:r>
            <w:r>
              <w:rPr>
                <w:rFonts w:ascii="Courier New" w:hAnsi="Courier New"/>
                <w:b w:val="0"/>
                <w:i w:val="0"/>
                <w:color w:val="222222"/>
                <w:sz w:val="19"/>
              </w:rPr>
              <w:t xml:space="preserve">  -d @payload-precloture.json</w:t>
            </w:r>
          </w:p>
        </w:tc>
      </w:tr>
    </w:tbl>
    <w:p>
      <w:pPr>
        <w:spacing w:after="120" w:before="320" w:line="276" w:lineRule="auto"/>
        <w:jc w:val="left"/>
      </w:pPr>
      <w:r>
        <w:rPr>
          <w:rFonts w:ascii="Arial" w:hAnsi="Arial"/>
          <w:b/>
          <w:i w:val="0"/>
          <w:color w:val="163556"/>
          <w:sz w:val="32"/>
        </w:rPr>
        <w:t>15. Références de livraison</w:t>
      </w:r>
    </w:p>
    <w:p>
      <w:pPr>
        <w:pStyle w:val="ListBullet"/>
        <w:spacing w:after="80" w:before="0" w:line="276" w:lineRule="auto"/>
        <w:jc w:val="left"/>
      </w:pPr>
      <w:r>
        <w:rPr>
          <w:rFonts w:ascii="Arial" w:hAnsi="Arial"/>
          <w:b w:val="0"/>
          <w:i w:val="0"/>
          <w:color w:val="222222"/>
          <w:sz w:val="22"/>
        </w:rPr>
        <w:t>Présentation PowerPoint source : TransferAI_Presentation_Pre_Cloture_Bancaire_Multi_Banques.pptx</w:t>
      </w:r>
    </w:p>
    <w:p>
      <w:pPr>
        <w:pStyle w:val="ListBullet"/>
        <w:spacing w:after="80" w:before="0" w:line="276" w:lineRule="auto"/>
        <w:jc w:val="left"/>
      </w:pPr>
      <w:r>
        <w:rPr>
          <w:rFonts w:ascii="Arial" w:hAnsi="Arial"/>
          <w:b w:val="0"/>
          <w:i w:val="0"/>
          <w:color w:val="222222"/>
          <w:sz w:val="22"/>
        </w:rPr>
        <w:t>Workflow n8n exportable générique : workflow_precloture_bancaire_multibanques_n8n.json</w:t>
      </w:r>
    </w:p>
    <w:p>
      <w:pPr>
        <w:pStyle w:val="ListBullet"/>
        <w:spacing w:after="80" w:before="0" w:line="276" w:lineRule="auto"/>
        <w:jc w:val="left"/>
      </w:pPr>
      <w:r>
        <w:rPr>
          <w:rFonts w:ascii="Arial" w:hAnsi="Arial"/>
          <w:b w:val="0"/>
          <w:i w:val="0"/>
          <w:color w:val="222222"/>
          <w:sz w:val="22"/>
        </w:rPr>
        <w:t>Guide utilisateur : le présent document.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76" w:lineRule="auto"/>
      <w:jc w:val="left"/>
    </w:pPr>
    <w:r>
      <w:rPr>
        <w:rFonts w:ascii="Arial" w:hAnsi="Arial"/>
        <w:b w:val="0"/>
        <w:i w:val="0"/>
        <w:color w:val="5A5A5A"/>
        <w:sz w:val="18"/>
      </w:rPr>
      <w:t>TransferAI x Nettelecom CI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