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76" w:lineRule="auto"/>
        <w:jc w:val="left"/>
      </w:pPr>
      <w:r>
        <w:rPr>
          <w:rFonts w:ascii="Arial" w:hAnsi="Arial" w:eastAsia="Arial"/>
          <w:b/>
          <w:color w:val="12172A"/>
          <w:sz w:val="44"/>
        </w:rPr>
        <w:t>Newsletter IA TransferAI Africa · Données locales, webinaire gratuit et employabilité</w:t>
      </w:r>
    </w:p>
    <w:p>
      <w:pPr>
        <w:spacing w:before="0" w:after="200" w:line="276" w:lineRule="auto"/>
      </w:pPr>
      <w:r>
        <w:rPr>
          <w:rFonts w:ascii="Arial" w:hAnsi="Arial"/>
          <w:sz w:val="20"/>
        </w:rPr>
        <w:t>Date de parution : 3 juillet 2026</w:t>
      </w:r>
      <w:r>
        <w:t xml:space="preserve"> · </w:t>
      </w:r>
      <w:r>
        <w:rPr>
          <w:rFonts w:ascii="Arial" w:hAnsi="Arial"/>
          <w:sz w:val="20"/>
        </w:rPr>
        <w:t>Statut : brouillon de prévisualisation</w:t>
      </w:r>
      <w:r>
        <w:t xml:space="preserve"> · </w:t>
      </w:r>
      <w:r>
        <w:rPr>
          <w:rFonts w:ascii="Arial" w:hAnsi="Arial"/>
          <w:sz w:val="20"/>
        </w:rPr>
        <w:t>Public : Côte d’Ivoire et Afrique francophone</w:t>
      </w:r>
    </w:p>
    <w:p>
      <w:pPr>
        <w:spacing w:before="0" w:after="200" w:line="276" w:lineRule="auto"/>
      </w:pPr>
      <w:r>
        <w:t>Cette édition rassemble les signaux utiles collectés du 1er au 3 juillet pour les équipes en Côte d’Ivoire et en Afrique : ce qu’il faut sécuriser, ce qu’il faut tester et ce qu’il faut standardiser avant d’accélérer. Elle annonce aussi le webinaire gratuit de juillet disponible sur le site, afin de convertir les lecteurs vers une première action concrète.</w:t>
      </w:r>
    </w:p>
    <w:p>
      <w:pPr>
        <w:pStyle w:val="Heading1"/>
        <w:spacing w:before="160" w:after="80" w:line="276" w:lineRule="auto"/>
      </w:pPr>
      <w:r>
        <w:t>Éditorial du fondateur</w:t>
      </w:r>
    </w:p>
    <w:p>
      <w:pPr>
        <w:spacing w:before="0" w:after="0"/>
      </w:pPr>
      <w:r>
        <w:t>Le signal de la semaine est simple : l’IA utile commence par la donnée, la preuve et le cadre d’exécution. Sans cela, on gagne parfois du volume, mais pas forcément de la valeur.</w:t>
      </w:r>
    </w:p>
    <w:p>
      <w:pPr>
        <w:spacing w:before="0" w:after="0"/>
      </w:pPr>
      <w:r>
        <w:t>L’objectif pour les équipes en Côte d’Ivoire et en Afrique francophone reste le même : produire plus vite, avec plus de fiabilité, et sans déplacer le risque vers les équipes ou les clients.</w:t>
      </w:r>
    </w:p>
    <w:p>
      <w:pPr>
        <w:pStyle w:val="Heading1"/>
        <w:spacing w:before="160" w:after="80" w:line="276" w:lineRule="auto"/>
      </w:pPr>
      <w:r>
        <w:t>Webinaire gratuit du mois</w:t>
      </w:r>
    </w:p>
    <w:p>
      <w:pPr>
        <w:spacing w:before="0" w:after="0"/>
        <w:ind w:left="288"/>
      </w:pPr>
      <w:r>
        <w:rPr>
          <w:b/>
        </w:rPr>
        <w:t>Webinaires gratuits TransferAI Côte d’Ivoire</w:t>
      </w:r>
    </w:p>
    <w:p>
      <w:pPr>
        <w:spacing w:before="0" w:after="0"/>
        <w:ind w:left="288"/>
      </w:pPr>
      <w:r>
        <w:t>Lancement en juillet 2026 pour aider les professionnels, entrepreneurs, assistants, managers et étudiants à passer de la curiosité à l’action.</w:t>
      </w:r>
    </w:p>
    <w:p>
      <w:pPr>
        <w:spacing w:before="0" w:after="0"/>
        <w:ind w:left="288"/>
      </w:pPr>
      <w:r>
        <w:t>Trois portes d’entrée sont proposées sur le site : IA pratique en Côte d’Ivoire : 10 usages concrets pour transformer votre métier ; Entreprises ivoiriennes : par où commencer avec l’intelligence artificielle ? ; IA, emploi et opportunités : les compétences à développer dès 2026.</w:t>
      </w:r>
    </w:p>
    <w:p>
      <w:pPr>
        <w:spacing w:before="0" w:after="0"/>
        <w:ind w:left="288"/>
      </w:pPr>
      <w:r>
        <w:t>Format : en ligne et gratuit, 60 minutes.</w:t>
      </w:r>
    </w:p>
    <w:p>
      <w:pPr>
        <w:spacing w:before="0" w:after="0"/>
        <w:ind w:left="288"/>
      </w:pPr>
      <w:r>
        <w:t>CTA : S’inscrire gratuitement.</w:t>
      </w:r>
    </w:p>
    <w:p>
      <w:pPr>
        <w:pStyle w:val="Heading1"/>
        <w:spacing w:before="160" w:after="80" w:line="276" w:lineRule="auto"/>
      </w:pPr>
      <w:r>
        <w:t>Opportunité à saisir</w:t>
      </w:r>
    </w:p>
    <w:p>
      <w:pPr>
        <w:spacing w:before="0" w:after="0"/>
      </w:pPr>
      <w:r>
        <w:t>UNICEF - Yoma Youth Ecosystem Consultant</w:t>
      </w:r>
    </w:p>
    <w:p>
      <w:pPr>
        <w:spacing w:before="0" w:after="0"/>
      </w:pPr>
      <w:r>
        <w:t>Mission pertinente pour un profil produit, programme, innovation ou transformation.</w:t>
      </w:r>
    </w:p>
    <w:p>
      <w:pPr>
        <w:spacing w:before="0" w:after="0"/>
      </w:pPr>
      <w:r>
        <w:t>Angle utile pour l’Afrique : IA, compétences numériques, déploiement multi-pays et impact jeunesse.</w:t>
      </w:r>
    </w:p>
    <w:p>
      <w:pPr>
        <w:pStyle w:val="Heading1"/>
        <w:spacing w:before="160" w:after="80" w:line="276" w:lineRule="auto"/>
      </w:pPr>
      <w:r>
        <w:t>Veille sectorielle synthétique - 13 domaines</w:t>
      </w:r>
    </w:p>
    <w:p>
      <w:pPr>
        <w:spacing w:before="0" w:after="0"/>
        <w:ind w:left="360" w:hanging="216"/>
      </w:pPr>
      <w:r>
        <w:t>• Assistanat &amp; Secrétariat : comptes rendus, priorisation et relances.</w:t>
      </w:r>
    </w:p>
    <w:p>
      <w:pPr>
        <w:spacing w:before="0" w:after="0"/>
        <w:ind w:left="360" w:hanging="216"/>
      </w:pPr>
      <w:r>
        <w:t>• Ressources Humaines : charte d’usage IA et préparation des dossiers.</w:t>
      </w:r>
    </w:p>
    <w:p>
      <w:pPr>
        <w:spacing w:before="0" w:after="0"/>
        <w:ind w:left="360" w:hanging="216"/>
      </w:pPr>
      <w:r>
        <w:t>• Marketing &amp; Communication : provenance, cohérence de marque et validation.</w:t>
      </w:r>
    </w:p>
    <w:p>
      <w:pPr>
        <w:spacing w:before="0" w:after="0"/>
        <w:ind w:left="360" w:hanging="216"/>
      </w:pPr>
      <w:r>
        <w:t>• Finance &amp; Comptabilité : commentaires de reporting et consolidation plus rapide.</w:t>
      </w:r>
    </w:p>
    <w:p>
      <w:pPr>
        <w:spacing w:before="0" w:after="0"/>
        <w:ind w:left="360" w:hanging="216"/>
      </w:pPr>
      <w:r>
        <w:t>• Juridique &amp; Conformité : traçabilité, versionnage et validation humaine.</w:t>
      </w:r>
    </w:p>
    <w:p>
      <w:pPr>
        <w:spacing w:before="0" w:after="0"/>
        <w:ind w:left="360" w:hanging="216"/>
      </w:pPr>
      <w:r>
        <w:t>• Service client &amp; relation client : assistants de premier niveau et escalade.</w:t>
      </w:r>
    </w:p>
    <w:p>
      <w:pPr>
        <w:spacing w:before="0" w:after="0"/>
        <w:ind w:left="360" w:hanging="216"/>
      </w:pPr>
      <w:r>
        <w:t>• Données &amp; Analyse : souveraineté, qualité et pilotage local.</w:t>
      </w:r>
    </w:p>
    <w:p>
      <w:pPr>
        <w:spacing w:before="0" w:after="0"/>
        <w:ind w:left="360" w:hanging="216"/>
      </w:pPr>
      <w:r>
        <w:t>• Administration &amp; Gestion : dossiers, tableaux de suivi et circuits de validation.</w:t>
      </w:r>
    </w:p>
    <w:p>
      <w:pPr>
        <w:spacing w:before="0" w:after="0"/>
        <w:ind w:left="360" w:hanging="216"/>
      </w:pPr>
      <w:r>
        <w:t>• Management &amp; Leadership : arbitrage impact / effort / risque.</w:t>
      </w:r>
    </w:p>
    <w:p>
      <w:pPr>
        <w:spacing w:before="0" w:after="0"/>
        <w:ind w:left="360" w:hanging="216"/>
      </w:pPr>
      <w:r>
        <w:t>• IT &amp; Transformation digitale : infrastructure, automatisation et workflows.</w:t>
      </w:r>
    </w:p>
    <w:p>
      <w:pPr>
        <w:spacing w:before="0" w:after="0"/>
        <w:ind w:left="360" w:hanging="216"/>
      </w:pPr>
      <w:r>
        <w:t>• Formation &amp; Pédagogie : AI literacy, parcours adaptatifs et support aux enseignants.</w:t>
      </w:r>
    </w:p>
    <w:p>
      <w:pPr>
        <w:spacing w:before="0" w:after="0"/>
        <w:ind w:left="360" w:hanging="216"/>
      </w:pPr>
      <w:r>
        <w:t>• Santé, social &amp; bien-être : documentation assistée sous validation humaine.</w:t>
      </w:r>
    </w:p>
    <w:p>
      <w:pPr>
        <w:spacing w:before="0" w:after="0"/>
        <w:ind w:left="360" w:hanging="216"/>
      </w:pPr>
      <w:r>
        <w:t>• Diplomatie &amp; Affaires internationales : briefs, veille pays et coordination multilatérale.</w:t>
      </w:r>
    </w:p>
    <w:p>
      <w:pPr>
        <w:pStyle w:val="Heading1"/>
        <w:spacing w:before="160" w:after="80" w:line="276" w:lineRule="auto"/>
      </w:pPr>
      <w:r>
        <w:t>Idées de contenus courts</w:t>
      </w:r>
    </w:p>
    <w:p>
      <w:pPr>
        <w:spacing w:before="0" w:after="0"/>
        <w:ind w:left="360" w:hanging="216"/>
      </w:pPr>
      <w:r>
        <w:t>1. Carousel LinkedIn : 3 décisions à prendre avant de lancer un projet IA.</w:t>
      </w:r>
    </w:p>
    <w:p>
      <w:pPr>
        <w:spacing w:before="0" w:after="0"/>
        <w:ind w:left="360" w:hanging="216"/>
      </w:pPr>
      <w:r>
        <w:t>2. Post newsletter : Pourquoi la souveraineté des données est un sujet business, pas seulement politique.</w:t>
      </w:r>
    </w:p>
    <w:p>
      <w:pPr>
        <w:spacing w:before="0" w:after="0"/>
        <w:ind w:left="360" w:hanging="216"/>
      </w:pPr>
      <w:r>
        <w:t>3. Script vidéo court : Du compte rendu au workflow validé en 10 minutes.</w:t>
      </w:r>
    </w:p>
    <w:p>
      <w:pPr>
        <w:spacing w:before="0" w:after="0"/>
        <w:ind w:left="360" w:hanging="216"/>
      </w:pPr>
      <w:r>
        <w:t>4. Mini-guide : Freelance : comment prouver qu’on a vraiment gagné en compétences avec l’IA.</w:t>
      </w:r>
    </w:p>
    <w:p>
      <w:pPr>
        <w:pStyle w:val="Heading1"/>
        <w:spacing w:before="160" w:after="80" w:line="276" w:lineRule="auto"/>
      </w:pPr>
      <w:r>
        <w:t>Sources publiques utilisées</w:t>
      </w:r>
    </w:p>
    <w:p>
      <w:pPr>
        <w:spacing w:before="0" w:after="0"/>
        <w:ind w:left="360" w:hanging="216"/>
      </w:pPr>
      <w:r>
        <w:t>Africa Renewal - Africa pushes for data sovereignty and digital independence</w:t>
      </w:r>
    </w:p>
    <w:p>
      <w:pPr>
        <w:spacing w:before="0" w:after="0"/>
        <w:ind w:left="360" w:hanging="216"/>
      </w:pPr>
      <w:r>
        <w:t>arXiv - AI Infrastructure Sovereignty</w:t>
      </w:r>
    </w:p>
    <w:p>
      <w:pPr>
        <w:spacing w:before="0" w:after="0"/>
        <w:ind w:left="360" w:hanging="216"/>
      </w:pPr>
      <w:r>
        <w:t>arXiv - Assessing the Case for Africa-Centric AI Safety Evaluations</w:t>
      </w:r>
    </w:p>
    <w:p>
      <w:pPr>
        <w:spacing w:before="0" w:after="0"/>
        <w:ind w:left="360" w:hanging="216"/>
      </w:pPr>
      <w:r>
        <w:t>arXiv - Closing Africa’s Early Warning Gap: AI Weather Forecasting for Disaster Prevention</w:t>
      </w:r>
    </w:p>
    <w:p>
      <w:pPr>
        <w:spacing w:before="0" w:after="0"/>
        <w:ind w:left="360" w:hanging="216"/>
      </w:pPr>
      <w:r>
        <w:t>arXiv - Upskilling with Generative AI: Practices and Challenges for Freelance Knowledge Workers</w:t>
      </w:r>
    </w:p>
    <w:p>
      <w:pPr>
        <w:spacing w:before="0" w:after="0"/>
        <w:ind w:left="360" w:hanging="216"/>
      </w:pPr>
      <w:r>
        <w:t>arXiv - Towards an Ethical AI Curriculum: A Pan-African, Culturally Contextualized Framework for Primary and Secondary Education</w:t>
      </w:r>
    </w:p>
    <w:p>
      <w:pPr>
        <w:spacing w:before="0" w:after="0"/>
        <w:ind w:left="360" w:hanging="216"/>
      </w:pPr>
      <w:r>
        <w:t>Gouv.ci - Technologies : la Côte d’Ivoire ambitionne de penser une intelligence artificielle pour transformer les services publics</w:t>
      </w:r>
    </w:p>
    <w:p>
      <w:pPr>
        <w:spacing w:before="0" w:after="0"/>
        <w:ind w:left="360" w:hanging="216"/>
      </w:pPr>
      <w:r>
        <w:t>Webinaires gratuits TransferAI Côte d’Ivoire</w:t>
      </w:r>
    </w:p>
    <w:p>
      <w:pPr>
        <w:spacing w:before="0" w:after="0"/>
        <w:ind w:left="360" w:hanging="216"/>
      </w:pPr>
      <w:r>
        <w:t>UNICEF Careers - Current vacancies</w:t>
      </w:r>
    </w:p>
    <w:p>
      <w:pPr>
        <w:spacing w:before="200" w:after="0"/>
      </w:pPr>
      <w:r>
        <w:rPr>
          <w:b/>
        </w:rPr>
        <w:t xml:space="preserve">Références rapides : </w:t>
      </w:r>
      <w:hyperlink r:id="rId9">
        <w:r>
          <w:rPr>
            <w:color w:val="0563C1"/>
            <w:u w:val="single"/>
          </w:rPr>
          <w:t>Webinaires TransferAI</w:t>
        </w:r>
      </w:hyperlink>
      <w:r>
        <w:t xml:space="preserve"> · </w:t>
      </w:r>
      <w:hyperlink r:id="rId10">
        <w:r>
          <w:rPr>
            <w:color w:val="0563C1"/>
            <w:u w:val="single"/>
          </w:rPr>
          <w:t>Ressources TransferAI</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2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B3A6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2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ransferai.ci/webinaires" TargetMode="External"/><Relationship Id="rId10" Type="http://schemas.openxmlformats.org/officeDocument/2006/relationships/hyperlink" Target="https://www.transferai.ci/b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