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B3F6E" w:val="clear"/>
            <w:tcMar>
              <w:top w:type="dxa" w:w="600"/>
              <w:left w:type="dxa" w:w="400"/>
              <w:bottom w:type="dxa" w:w="600"/>
              <w:right w:type="dxa" w:w="4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52"/>
                <w:szCs w:val="52"/>
              </w:rPr>
              <w:t xml:space="preserve">TransferAI Africa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E8A020"/>
                <w:sz w:val="24"/>
                <w:szCs w:val="24"/>
              </w:rPr>
              <w:t xml:space="preserve">Solutions d'Intelligence Artificielle pour l'Afrique</w:t>
            </w:r>
          </w:p>
        </w:tc>
      </w:tr>
    </w:tbl>
    <w:p>
      <w:pPr>
        <w:spacing w:after="100" w:before="400"/>
      </w:pPr>
      <w:r>
        <w:t xml:space="preserve"/>
      </w:r>
    </w:p>
    <w:p>
      <w:pPr>
        <w:spacing w:after="60" w:before="100"/>
        <w:jc w:val="center"/>
      </w:pPr>
      <w:r>
        <w:rPr>
          <w:rFonts w:ascii="Arial" w:cs="Arial" w:eastAsia="Arial" w:hAnsi="Arial"/>
          <w:b/>
          <w:bCs/>
          <w:color w:val="1B3F6E"/>
          <w:sz w:val="56"/>
          <w:szCs w:val="56"/>
        </w:rPr>
        <w:t xml:space="preserve">GUIDE COMPLET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color w:val="E8A020"/>
          <w:sz w:val="40"/>
          <w:szCs w:val="40"/>
        </w:rPr>
        <w:t xml:space="preserve">Recherche Documentaire Intelligente</w:t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0D7D6B"/>
          <w:sz w:val="28"/>
          <w:szCs w:val="28"/>
        </w:rPr>
        <w:t xml:space="preserve">Powered by RAG — Retrieval Augmented Generation</w:t>
      </w:r>
    </w:p>
    <w:p>
      <w:pPr>
        <w:pBdr>
          <w:bottom w:val="single" w:color="E8A020" w:sz="20" w:space="1"/>
        </w:pBdr>
        <w:spacing w:after="60" w:before="60"/>
      </w:pPr>
      <w:r>
        <w:t xml:space="preserve"/>
      </w:r>
    </w:p>
    <w:p>
      <w:pPr>
        <w:spacing w:after="100" w:before="200"/>
      </w:pPr>
      <w: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200"/>
        <w:gridCol w:w="3100"/>
        <w:gridCol w:w="200"/>
        <w:gridCol w:w="3146"/>
      </w:tblGrid>
      <w:tr>
        <w:tc>
          <w:tcPr>
            <w:tcW w:type="dxa" w:w="3100"/>
            <w:tcBorders>
              <w:top w:val="none"/>
              <w:left w:val="none"/>
              <w:bottom w:val="none"/>
              <w:right w:val="none"/>
            </w:tcBorders>
            <w:shd w:fill="1B3F6E" w:val="clear"/>
            <w:tcMar>
              <w:top w:type="dxa" w:w="300"/>
              <w:left w:type="dxa" w:w="200"/>
              <w:bottom w:type="dxa" w:w="30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8A020"/>
                <w:sz w:val="96"/>
                <w:szCs w:val="96"/>
              </w:rPr>
              <w:t xml:space="preserve">R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Retrieval</w:t>
            </w:r>
          </w:p>
          <w:p>
            <w:pPr>
              <w:spacing w:after="0" w:before="60"/>
              <w:jc w:val="center"/>
            </w:pPr>
            <w:r>
              <w:rPr>
                <w:rFonts w:ascii="Arial" w:cs="Arial" w:eastAsia="Arial" w:hAnsi="Arial"/>
                <w:color w:val="BBCCDD"/>
                <w:sz w:val="19"/>
                <w:szCs w:val="19"/>
              </w:rPr>
              <w:t xml:space="preserve">Recherche dans vos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BBCCDD"/>
                <w:sz w:val="19"/>
                <w:szCs w:val="19"/>
              </w:rPr>
              <w:t xml:space="preserve">propres documents</w:t>
            </w:r>
          </w:p>
        </w:tc>
        <w:tc>
          <w:tcPr>
            <w:tcW w:type="dxa" w:w="200"/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55555"/>
                <w:sz w:val="40"/>
                <w:szCs w:val="40"/>
              </w:rPr>
              <w:t xml:space="preserve">+</w:t>
            </w:r>
          </w:p>
        </w:tc>
        <w:tc>
          <w:tcPr>
            <w:tcW w:type="dxa" w:w="3100"/>
            <w:tcBorders>
              <w:top w:val="none"/>
              <w:left w:val="none"/>
              <w:bottom w:val="none"/>
              <w:right w:val="none"/>
            </w:tcBorders>
            <w:shd w:fill="0D7D6B" w:val="clear"/>
            <w:tcMar>
              <w:top w:type="dxa" w:w="300"/>
              <w:left w:type="dxa" w:w="200"/>
              <w:bottom w:type="dxa" w:w="30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8A020"/>
                <w:sz w:val="96"/>
                <w:szCs w:val="96"/>
              </w:rPr>
              <w:t xml:space="preserve">A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Augmented</w:t>
            </w:r>
          </w:p>
          <w:p>
            <w:pPr>
              <w:spacing w:after="0" w:before="60"/>
              <w:jc w:val="center"/>
            </w:pPr>
            <w:r>
              <w:rPr>
                <w:rFonts w:ascii="Arial" w:cs="Arial" w:eastAsia="Arial" w:hAnsi="Arial"/>
                <w:color w:val="BBDDCC"/>
                <w:sz w:val="19"/>
                <w:szCs w:val="19"/>
              </w:rPr>
              <w:t xml:space="preserve">Enrichie avec les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BBDDCC"/>
                <w:sz w:val="19"/>
                <w:szCs w:val="19"/>
              </w:rPr>
              <w:t xml:space="preserve">extraits pertinents</w:t>
            </w:r>
          </w:p>
        </w:tc>
        <w:tc>
          <w:tcPr>
            <w:tcW w:type="dxa" w:w="200"/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55555"/>
                <w:sz w:val="40"/>
                <w:szCs w:val="40"/>
              </w:rPr>
              <w:t xml:space="preserve">+</w:t>
            </w:r>
          </w:p>
        </w:tc>
        <w:tc>
          <w:tcPr>
            <w:tcW w:type="dxa" w:w="3146"/>
            <w:tcBorders>
              <w:top w:val="none"/>
              <w:left w:val="none"/>
              <w:bottom w:val="none"/>
              <w:right w:val="none"/>
            </w:tcBorders>
            <w:shd w:fill="E8A020" w:val="clear"/>
            <w:tcMar>
              <w:top w:type="dxa" w:w="300"/>
              <w:left w:type="dxa" w:w="200"/>
              <w:bottom w:type="dxa" w:w="30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F6E"/>
                <w:sz w:val="96"/>
                <w:szCs w:val="96"/>
              </w:rPr>
              <w:t xml:space="preserve">G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F6E"/>
                <w:sz w:val="28"/>
                <w:szCs w:val="28"/>
              </w:rPr>
              <w:t xml:space="preserve">Generation</w:t>
            </w:r>
          </w:p>
          <w:p>
            <w:pPr>
              <w:spacing w:after="0" w:before="60"/>
              <w:jc w:val="center"/>
            </w:pPr>
            <w:r>
              <w:rPr>
                <w:rFonts w:ascii="Arial" w:cs="Arial" w:eastAsia="Arial" w:hAnsi="Arial"/>
                <w:color w:val="1B3F6E"/>
                <w:sz w:val="19"/>
                <w:szCs w:val="19"/>
              </w:rPr>
              <w:t xml:space="preserve">Rédige une réponse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1B3F6E"/>
                <w:sz w:val="19"/>
                <w:szCs w:val="19"/>
              </w:rPr>
              <w:t xml:space="preserve">claire et sourcée</w:t>
            </w:r>
          </w:p>
        </w:tc>
      </w:tr>
    </w:tbl>
    <w:p>
      <w:pPr>
        <w:spacing w:after="100" w:before="300"/>
      </w:pPr>
      <w:r>
        <w:t xml:space="preserve"/>
      </w:r>
    </w:p>
    <w:p>
      <w:pPr>
        <w:pBdr>
          <w:bottom w:val="single" w:color="E8A020" w:sz="12" w:space="1"/>
        </w:pBdr>
        <w:spacing w:after="60" w:before="60"/>
      </w:pPr>
      <w:r>
        <w:t xml:space="preserve"/>
      </w:r>
    </w:p>
    <w:p>
      <w:pPr>
        <w:spacing w:after="60" w:before="100"/>
      </w:pPr>
      <w:r>
        <w:t xml:space="preserve"/>
      </w:r>
    </w:p>
    <w:p>
      <w:pPr>
        <w:spacing w:after="40" w:before="60"/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Formation IA Pratique aux Metiers — Juillet 2026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Document confidentiel — Usage interne TransferAI Africa</w:t>
      </w:r>
    </w:p>
    <w:p>
      <w:pPr>
        <w:spacing w:after="40" w:before="40"/>
        <w:jc w:val="center"/>
      </w:pPr>
      <w:r>
        <w:rPr>
          <w:rFonts w:ascii="Arial" w:cs="Arial" w:eastAsia="Arial" w:hAnsi="Arial"/>
          <w:color w:val="0D7D6B"/>
          <w:sz w:val="20"/>
          <w:szCs w:val="20"/>
        </w:rPr>
        <w:t xml:space="preserve">contact@transferai.ci  |  www.transferai.ci</w:t>
      </w:r>
    </w:p>
    <w:p>
      <w:pPr>
        <w:spacing w:after="40" w:before="120"/>
        <w:jc w:val="center"/>
      </w:pPr>
      <w:r>
        <w:rPr>
          <w:rFonts w:ascii="Arial" w:cs="Arial" w:eastAsia="Arial" w:hAnsi="Arial"/>
          <w:i/>
          <w:iCs/>
          <w:color w:val="E8A020"/>
          <w:sz w:val="18"/>
          <w:szCs w:val="18"/>
        </w:rPr>
        <w:t xml:space="preserve">Mise à jour du contenu : 08 juillet 2026 — nouvelle interface web (partie 3.1), 5 nouveaux problèmes documentés et 2 fiches corrigées en partie 4, liens mis à jour en partie 5.2.</w:t>
      </w:r>
    </w:p>
    <w:p>
      <w:pPr>
        <w:sectPr>
          <w:headerReference w:type="default" r:id="rId7"/>
          <w:footerReference w:type="default" r:id="rId8"/>
          <w:pgSz w:w="11906" w:h="16838" w:orient="portrait"/>
          <w:pgMar w:top="720" w:right="1080" w:bottom="720" w:left="1080" w:header="708" w:footer="708" w:gutter="0"/>
          <w:pgNumType/>
          <w:docGrid w:linePitch="360"/>
        </w:sectPr>
      </w:pPr>
    </w:p>
    <w:p>
      <w:pPr>
        <w:pStyle w:val="Heading1"/>
        <w:spacing w:after="120" w:before="320"/>
      </w:pPr>
      <w:bookmarkStart w:name="part1" w:id="1"/>
      <w:r>
        <w:rPr>
          <w:rFonts w:ascii="Arial" w:cs="Arial" w:eastAsia="Arial" w:hAnsi="Arial"/>
          <w:b/>
          <w:bCs/>
          <w:color w:val="1B3F6E"/>
          <w:sz w:val="34"/>
          <w:szCs w:val="34"/>
        </w:rPr>
        <w:t xml:space="preserve">PARTIE 1 — Comprendre la Technologie RAG</w:t>
      </w:r>
      <w:bookmarkEnd w:id="1"/>
    </w:p>
    <w:p>
      <w:pPr>
        <w:pBdr>
          <w:bottom w:val="single" w:color="E8A020" w:sz="10" w:space="1"/>
        </w:pBdr>
        <w:spacing w:after="60" w:before="6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1B3F6E"/>
          <w:sz w:val="26"/>
          <w:szCs w:val="26"/>
        </w:rPr>
        <w:t xml:space="preserve">1.1  Qu'est-ce que le RAG ?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RAG — Retrieval Augmented Generation — est une architecture d'intelligence artificielle qui révolutionne la façon dont les organisations exploitent leur propre documentation. Contrairement à un chatbot généraliste qui répond uniquement depuis sa mémoire de formation, le RAG donne à l'IA accès à VOS documents, en temps réel.</w:t>
      </w:r>
    </w:p>
    <w:p>
      <w:pPr>
        <w:spacing w:after="80" w:before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thick" w:color="1B3F6E" w:sz="12"/>
              <w:left w:val="thick" w:color="1B3F6E" w:sz="24"/>
              <w:bottom w:val="single" w:color="1B3F6E" w:sz="4"/>
              <w:right w:val="single" w:color="1B3F6E" w:sz="4"/>
            </w:tcBorders>
            <w:shd w:fill="D6E4F0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40" w:before="20"/>
            </w:pPr>
            <w:r>
              <w:rPr>
                <w:rFonts w:ascii="Arial" w:cs="Arial" w:eastAsia="Arial" w:hAnsi="Arial"/>
                <w:b/>
                <w:bCs/>
                <w:color w:val="1B3F6E"/>
                <w:sz w:val="21"/>
                <w:szCs w:val="21"/>
              </w:rPr>
              <w:t xml:space="preserve">Définition simple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1"/>
                <w:szCs w:val="21"/>
              </w:rPr>
              <w:t xml:space="preserve">Le RAG, c'est comme avoir un expert qui connait parfaitement toute votre documentation et qui peut répondre instantanément à n'importe quelle question en citant ses sources.</w:t>
            </w:r>
          </w:p>
        </w:tc>
      </w:tr>
    </w:tbl>
    <w:p>
      <w:pPr>
        <w:spacing w:after="60" w:before="120"/>
      </w:pPr>
      <w: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200"/>
        <w:gridCol w:w="3046"/>
        <w:gridCol w:w="3000"/>
      </w:tblGrid>
      <w:tr>
        <w:trPr>
          <w:tblHeader/>
        </w:trPr>
        <w:tc>
          <w:tcPr>
            <w:tcW w:type="dxa" w:w="15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F6E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Lettre</w:t>
            </w:r>
          </w:p>
        </w:tc>
        <w:tc>
          <w:tcPr>
            <w:tcW w:type="dxa" w:w="22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F6E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Mot</w:t>
            </w:r>
          </w:p>
        </w:tc>
        <w:tc>
          <w:tcPr>
            <w:tcW w:type="dxa" w:w="3046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F6E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Ce que fait l'IA</w:t>
            </w:r>
          </w:p>
        </w:tc>
        <w:tc>
          <w:tcPr>
            <w:tcW w:type="dxa" w:w="30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F6E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Valeur pour vous</w:t>
            </w:r>
          </w:p>
        </w:tc>
      </w:tr>
      <w:tr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B3F6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B3F6E"/>
                <w:sz w:val="22"/>
                <w:szCs w:val="22"/>
              </w:rPr>
              <w:t xml:space="preserve">Retrieval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i/>
                <w:iCs/>
                <w:color w:val="555555"/>
                <w:sz w:val="20"/>
                <w:szCs w:val="20"/>
              </w:rPr>
              <w:t xml:space="preserve">Recherche</w:t>
            </w:r>
          </w:p>
        </w:tc>
        <w:tc>
          <w:tcPr>
            <w:tcW w:type="dxa" w:w="304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Cherche et récupère les passages les plus pertinents de votre base documentaire en moins d'une seconde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Réponses basées sur VOS données, pas sur des informations génériques d'internet</w:t>
            </w:r>
          </w:p>
        </w:tc>
      </w:tr>
      <w:tr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D7D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A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5F0E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0D7D6B"/>
                <w:sz w:val="22"/>
                <w:szCs w:val="22"/>
              </w:rPr>
              <w:t xml:space="preserve">Augmented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i/>
                <w:iCs/>
                <w:color w:val="555555"/>
                <w:sz w:val="20"/>
                <w:szCs w:val="20"/>
              </w:rPr>
              <w:t xml:space="preserve">Augmentée</w:t>
            </w:r>
          </w:p>
        </w:tc>
        <w:tc>
          <w:tcPr>
            <w:tcW w:type="dxa" w:w="304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Enrichit son contexte avec les extraits retrouvés avant de formuler sa réponse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5F0E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Réponses précises, complètes, contextualisées à votre réalité terrain</w:t>
            </w:r>
          </w:p>
        </w:tc>
      </w:tr>
      <w:tr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A02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G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EF3D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E8A020"/>
                <w:sz w:val="22"/>
                <w:szCs w:val="22"/>
              </w:rPr>
              <w:t xml:space="preserve">Generation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i/>
                <w:iCs/>
                <w:color w:val="555555"/>
                <w:sz w:val="20"/>
                <w:szCs w:val="20"/>
              </w:rPr>
              <w:t xml:space="preserve">Génération</w:t>
            </w:r>
          </w:p>
        </w:tc>
        <w:tc>
          <w:tcPr>
            <w:tcW w:type="dxa" w:w="304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Rédige une réponse claire, structurée en langue naturelle, avec les sources citées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EF3D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Un expert disponible 24h/24 qui ne se trompe pas et montre ses sources</w:t>
            </w:r>
          </w:p>
        </w:tc>
      </w:tr>
    </w:tbl>
    <w:p>
      <w:pPr>
        <w:spacing w:after="60" w:before="16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1B3F6E"/>
          <w:sz w:val="26"/>
          <w:szCs w:val="26"/>
        </w:rPr>
        <w:t xml:space="preserve">1.2  Comment fonctionne le RAG — Sous le capot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Quand vous posez une question au système RAG de TransferAI, voici exactement ce qui se passe en quelques secondes :</w:t>
      </w:r>
    </w:p>
    <w:p>
      <w:pPr>
        <w:spacing w:after="100" w:before="100"/>
      </w:pPr>
      <w: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846"/>
      </w:tblGrid>
      <w:tr>
        <w:tc>
          <w:tcPr>
            <w:tcW w:type="dxa" w:w="900"/>
            <w:tcBorders>
              <w:top w:val="none" w:sz="0"/>
              <w:left w:val="none" w:sz="0"/>
              <w:bottom w:val="none" w:sz="0"/>
              <w:right w:val="none" w:sz="0"/>
            </w:tcBorders>
            <w:shd w:fill="1B3F6E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1</w:t>
            </w:r>
          </w:p>
        </w:tc>
        <w:tc>
          <w:tcPr>
            <w:tcW w:type="dxa" w:w="8126"/>
            <w:tcBorders>
              <w:top w:val="none" w:sz="0"/>
              <w:left w:val="none" w:sz="0"/>
              <w:bottom w:val="none" w:sz="0"/>
              <w:right w:val="none" w:sz="0"/>
            </w:tcBorders>
            <w:shd w:fill="D6E4F0" w:val="clear"/>
            <w:tcMar>
              <w:top w:type="dxa" w:w="120"/>
              <w:left w:type="dxa" w:w="200"/>
              <w:bottom w:type="dxa" w:w="120"/>
              <w:right w:type="dxa" w:w="14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color w:val="1B3F6E"/>
                <w:sz w:val="23"/>
                <w:szCs w:val="23"/>
              </w:rPr>
              <w:t xml:space="preserve">Votre question est reçue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555555"/>
                <w:sz w:val="21"/>
                <w:szCs w:val="21"/>
              </w:rPr>
              <w:t xml:space="preserve">Le webhook n8n capture votre question envoyée via Chatwoot ou l'interface web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>
            <w:pPr>
              <w:spacing w:after="8" w:before="8"/>
            </w:pPr>
            <w:r>
              <w:t xml:space="preserve"/>
            </w:r>
          </w:p>
        </w:tc>
      </w:tr>
      <w:tr>
        <w:tc>
          <w:tcPr>
            <w:tcW w:type="dxa" w:w="900"/>
            <w:tcBorders>
              <w:top w:val="none" w:sz="0"/>
              <w:left w:val="none" w:sz="0"/>
              <w:bottom w:val="none" w:sz="0"/>
              <w:right w:val="none" w:sz="0"/>
            </w:tcBorders>
            <w:shd w:fill="0D7D6B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2</w:t>
            </w:r>
          </w:p>
        </w:tc>
        <w:tc>
          <w:tcPr>
            <w:tcW w:type="dxa" w:w="8126"/>
            <w:tcBorders>
              <w:top w:val="none" w:sz="0"/>
              <w:left w:val="none" w:sz="0"/>
              <w:bottom w:val="none" w:sz="0"/>
              <w:right w:val="none" w:sz="0"/>
            </w:tcBorders>
            <w:shd w:fill="D6E4F0" w:val="clear"/>
            <w:tcMar>
              <w:top w:type="dxa" w:w="120"/>
              <w:left w:type="dxa" w:w="200"/>
              <w:bottom w:type="dxa" w:w="120"/>
              <w:right w:type="dxa" w:w="14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color w:val="1B3F6E"/>
                <w:sz w:val="23"/>
                <w:szCs w:val="23"/>
              </w:rPr>
              <w:t xml:space="preserve">Vectorisation de la question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555555"/>
                <w:sz w:val="21"/>
                <w:szCs w:val="21"/>
              </w:rPr>
              <w:t xml:space="preserve">OpenAI transforme votre question en vecteur mathématique de 1536 dimensions (text-embedding-3-small)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>
            <w:pPr>
              <w:spacing w:after="8" w:before="8"/>
            </w:pPr>
            <w:r>
              <w:t xml:space="preserve"/>
            </w:r>
          </w:p>
        </w:tc>
      </w:tr>
      <w:tr>
        <w:tc>
          <w:tcPr>
            <w:tcW w:type="dxa" w:w="900"/>
            <w:tcBorders>
              <w:top w:val="none" w:sz="0"/>
              <w:left w:val="none" w:sz="0"/>
              <w:bottom w:val="none" w:sz="0"/>
              <w:right w:val="none" w:sz="0"/>
            </w:tcBorders>
            <w:shd w:fill="E8A020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3</w:t>
            </w:r>
          </w:p>
        </w:tc>
        <w:tc>
          <w:tcPr>
            <w:tcW w:type="dxa" w:w="8126"/>
            <w:tcBorders>
              <w:top w:val="none" w:sz="0"/>
              <w:left w:val="none" w:sz="0"/>
              <w:bottom w:val="none" w:sz="0"/>
              <w:right w:val="none" w:sz="0"/>
            </w:tcBorders>
            <w:shd w:fill="D6E4F0" w:val="clear"/>
            <w:tcMar>
              <w:top w:type="dxa" w:w="120"/>
              <w:left w:type="dxa" w:w="200"/>
              <w:bottom w:type="dxa" w:w="120"/>
              <w:right w:type="dxa" w:w="14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color w:val="1B3F6E"/>
                <w:sz w:val="23"/>
                <w:szCs w:val="23"/>
              </w:rPr>
              <w:t xml:space="preserve">Recherche vectorielle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555555"/>
                <w:sz w:val="21"/>
                <w:szCs w:val="21"/>
              </w:rPr>
              <w:t xml:space="preserve">Supabase pgvector compare ce vecteur aux 5 000+ chunks indexés et retourne les 5 passages les plus similaires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>
            <w:pPr>
              <w:spacing w:after="8" w:before="8"/>
            </w:pPr>
            <w:r>
              <w:t xml:space="preserve"/>
            </w:r>
          </w:p>
        </w:tc>
      </w:tr>
      <w:tr>
        <w:tc>
          <w:tcPr>
            <w:tcW w:type="dxa" w:w="900"/>
            <w:tcBorders>
              <w:top w:val="none" w:sz="0"/>
              <w:left w:val="none" w:sz="0"/>
              <w:bottom w:val="none" w:sz="0"/>
              <w:right w:val="none" w:sz="0"/>
            </w:tcBorders>
            <w:shd w:fill="1B3F6E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4</w:t>
            </w:r>
          </w:p>
        </w:tc>
        <w:tc>
          <w:tcPr>
            <w:tcW w:type="dxa" w:w="8126"/>
            <w:tcBorders>
              <w:top w:val="none" w:sz="0"/>
              <w:left w:val="none" w:sz="0"/>
              <w:bottom w:val="none" w:sz="0"/>
              <w:right w:val="none" w:sz="0"/>
            </w:tcBorders>
            <w:shd w:fill="D6E4F0" w:val="clear"/>
            <w:tcMar>
              <w:top w:type="dxa" w:w="120"/>
              <w:left w:type="dxa" w:w="200"/>
              <w:bottom w:type="dxa" w:w="120"/>
              <w:right w:type="dxa" w:w="14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color w:val="1B3F6E"/>
                <w:sz w:val="23"/>
                <w:szCs w:val="23"/>
              </w:rPr>
              <w:t xml:space="preserve">Anonymisation des données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555555"/>
                <w:sz w:val="21"/>
                <w:szCs w:val="21"/>
              </w:rPr>
              <w:t xml:space="preserve">Les données sensibles (noms, emails, téléphones) sont remplacées par des tokens avant d'aller vers GPT-4o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>
            <w:pPr>
              <w:spacing w:after="8" w:before="8"/>
            </w:pPr>
            <w:r>
              <w:t xml:space="preserve"/>
            </w:r>
          </w:p>
        </w:tc>
      </w:tr>
      <w:tr>
        <w:tc>
          <w:tcPr>
            <w:tcW w:type="dxa" w:w="900"/>
            <w:tcBorders>
              <w:top w:val="none" w:sz="0"/>
              <w:left w:val="none" w:sz="0"/>
              <w:bottom w:val="none" w:sz="0"/>
              <w:right w:val="none" w:sz="0"/>
            </w:tcBorders>
            <w:shd w:fill="0D7D6B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5</w:t>
            </w:r>
          </w:p>
        </w:tc>
        <w:tc>
          <w:tcPr>
            <w:tcW w:type="dxa" w:w="8126"/>
            <w:tcBorders>
              <w:top w:val="none" w:sz="0"/>
              <w:left w:val="none" w:sz="0"/>
              <w:bottom w:val="none" w:sz="0"/>
              <w:right w:val="none" w:sz="0"/>
            </w:tcBorders>
            <w:shd w:fill="D6E4F0" w:val="clear"/>
            <w:tcMar>
              <w:top w:type="dxa" w:w="120"/>
              <w:left w:type="dxa" w:w="200"/>
              <w:bottom w:type="dxa" w:w="120"/>
              <w:right w:type="dxa" w:w="14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color w:val="1B3F6E"/>
                <w:sz w:val="23"/>
                <w:szCs w:val="23"/>
              </w:rPr>
              <w:t xml:space="preserve">Génération de la réponse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555555"/>
                <w:sz w:val="21"/>
                <w:szCs w:val="21"/>
              </w:rPr>
              <w:t xml:space="preserve">GPT-4o rédige une réponse structurée, basée uniquement sur les extraits fournis, avec les sources citées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>
            <w:pPr>
              <w:spacing w:after="8" w:before="8"/>
            </w:pPr>
            <w:r>
              <w:t xml:space="preserve"/>
            </w:r>
          </w:p>
        </w:tc>
      </w:tr>
      <w:tr>
        <w:tc>
          <w:tcPr>
            <w:tcW w:type="dxa" w:w="900"/>
            <w:tcBorders>
              <w:top w:val="none" w:sz="0"/>
              <w:left w:val="none" w:sz="0"/>
              <w:bottom w:val="none" w:sz="0"/>
              <w:right w:val="none" w:sz="0"/>
            </w:tcBorders>
            <w:shd w:fill="E8A020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6</w:t>
            </w:r>
          </w:p>
        </w:tc>
        <w:tc>
          <w:tcPr>
            <w:tcW w:type="dxa" w:w="8126"/>
            <w:tcBorders>
              <w:top w:val="none" w:sz="0"/>
              <w:left w:val="none" w:sz="0"/>
              <w:bottom w:val="none" w:sz="0"/>
              <w:right w:val="none" w:sz="0"/>
            </w:tcBorders>
            <w:shd w:fill="D6E4F0" w:val="clear"/>
            <w:tcMar>
              <w:top w:type="dxa" w:w="120"/>
              <w:left w:type="dxa" w:w="200"/>
              <w:bottom w:type="dxa" w:w="120"/>
              <w:right w:type="dxa" w:w="14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color w:val="1B3F6E"/>
                <w:sz w:val="23"/>
                <w:szCs w:val="23"/>
              </w:rPr>
              <w:t xml:space="preserve">Désanonymisation &amp; livraison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555555"/>
                <w:sz w:val="21"/>
                <w:szCs w:val="21"/>
              </w:rPr>
              <w:t xml:space="preserve">Les tokens sont remplacés par les vraies données et la réponse est retournée en quelques secondes</w:t>
            </w:r>
          </w:p>
        </w:tc>
      </w:tr>
    </w:tbl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1B3F6E"/>
          <w:sz w:val="26"/>
          <w:szCs w:val="26"/>
        </w:rPr>
        <w:t xml:space="preserve">1.3  Comprendre le Score de Similarité</w:t>
      </w:r>
    </w:p>
    <w:p>
      <w:pPr>
        <w:spacing w:after="160" w:before="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Chaque document (et chaque question posée) est transformé en une « empreinte numérique » (un embedding) qui capture le sens du texte, pas seulement ses mots exacts. Le score de similarité, affiché entre 0 et 100 %, mesure à quel point la question et un morceau de document ont un sens proche : 100 % = quasi identique, 0 % = aucun rapport.</w:t>
      </w:r>
    </w:p>
    <w:p>
      <w:pPr>
        <w:spacing w:after="160" w:before="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Le seuil de similarité (match_threshold côté technique) est un filtre appliqué avant même que GPT ne voie quoi que ce soit : seuls les morceaux dont le score dépasse ce seuil sont autorisés à remonter. En dessous, ils restent invisibles pour le système.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746"/>
        <w:gridCol w:w="3600"/>
      </w:tblGrid>
      <w:tr>
        <w:trPr>
          <w:tblHeader/>
        </w:trPr>
        <w:tc>
          <w:tcPr>
            <w:tcW w:type="dxa" w:w="14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F6E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Score</w:t>
            </w:r>
          </w:p>
        </w:tc>
        <w:tc>
          <w:tcPr>
            <w:tcW w:type="dxa" w:w="4746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F6E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Ce que ça veut dire</w:t>
            </w:r>
          </w:p>
        </w:tc>
        <w:tc>
          <w:tcPr>
            <w:tcW w:type="dxa" w:w="36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F6E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Réponse utilisable ?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90-100%</w:t>
            </w:r>
          </w:p>
        </w:tc>
        <w:tc>
          <w:tcPr>
            <w:tcW w:type="dxa" w:w="474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Quasi doublon du texte de la question</w:t>
            </w:r>
          </w:p>
        </w:tc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Oui, quasi certain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75-90%</w:t>
            </w:r>
          </w:p>
        </w:tc>
        <w:tc>
          <w:tcPr>
            <w:tcW w:type="dxa" w:w="474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Même sujet précis</w:t>
            </w:r>
          </w:p>
        </w:tc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Oui, généralement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60-75%</w:t>
            </w:r>
          </w:p>
        </w:tc>
        <w:tc>
          <w:tcPr>
            <w:tcW w:type="dxa" w:w="474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Sujet lié mais pas forcément la question exacte</w:t>
            </w:r>
          </w:p>
        </w:tc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Parfois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40-60%</w:t>
            </w:r>
          </w:p>
        </w:tc>
        <w:tc>
          <w:tcPr>
            <w:tcW w:type="dxa" w:w="474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Même thématique large, réponse improbable</w:t>
            </w:r>
          </w:p>
        </w:tc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Rarement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&lt; 40%</w:t>
            </w:r>
          </w:p>
        </w:tc>
        <w:tc>
          <w:tcPr>
            <w:tcW w:type="dxa" w:w="474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Bruit, pas de rapport réel</w:t>
            </w:r>
          </w:p>
        </w:tc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Non</w:t>
            </w:r>
          </w:p>
        </w:tc>
      </w:tr>
    </w:tbl>
    <w:p>
      <w:pPr>
        <w:spacing w:after="40" w:before="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/>
      </w:r>
    </w:p>
    <w:p>
      <w:pPr>
        <w:pBdr>
          <w:left w:val="single" w:color="1B3F6E" w:sz="18" w:space="8"/>
        </w:pBdr>
        <w:shd w:fill="D9E8F5" w:val="clear"/>
        <w:spacing w:after="200" w:before="120"/>
        <w:ind w:left="120"/>
      </w:pPr>
      <w:r>
        <w:rPr>
          <w:rFonts w:ascii="Arial" w:cs="Arial" w:eastAsia="Arial" w:hAnsi="Arial"/>
          <w:i/>
          <w:iCs/>
          <w:color w:val="1B3F6E"/>
          <w:sz w:val="20"/>
          <w:szCs w:val="20"/>
        </w:rPr>
        <w:t xml:space="preserve">À retenir pour la démo : un score affiché ne garantit pas une réponse utile. Le système reste honnête — si le contenu réel ne correspond pas assez à la question, l’IA répond « je n’ai pas trouvé cette information » plutôt que d’inventer, même quand une source apparaît dans la liste. Voir la partie 3.2 pour des exemples réels à chaque niveau de score.</w:t>
      </w:r>
    </w:p>
    <w:p>
      <w:pPr>
        <w:spacing w:after="80" w:before="200"/>
      </w:pPr>
      <w:r>
        <w:t xml:space="preserve"/>
      </w:r>
    </w:p>
    <w:p>
      <w:r>
        <w:br w:type="page"/>
      </w:r>
    </w:p>
    <w:p>
      <w:pPr>
        <w:pStyle w:val="Heading1"/>
        <w:spacing w:after="120" w:before="320"/>
      </w:pPr>
      <w:bookmarkStart w:name="part2" w:id="2"/>
      <w:r>
        <w:rPr>
          <w:rFonts w:ascii="Arial" w:cs="Arial" w:eastAsia="Arial" w:hAnsi="Arial"/>
          <w:b/>
          <w:bCs/>
          <w:color w:val="1B3F6E"/>
          <w:sz w:val="34"/>
          <w:szCs w:val="34"/>
        </w:rPr>
        <w:t xml:space="preserve">PARTIE 2 — L'Histoire TransferAI &amp; Sa Base de Connaissance</w:t>
      </w:r>
      <w:bookmarkEnd w:id="2"/>
    </w:p>
    <w:p>
      <w:pPr>
        <w:pBdr>
          <w:bottom w:val="single" w:color="0D7D6B" w:sz="10" w:space="1"/>
        </w:pBdr>
        <w:spacing w:after="60" w:before="6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1B3F6E"/>
          <w:sz w:val="26"/>
          <w:szCs w:val="26"/>
        </w:rPr>
        <w:t xml:space="preserve">2.1  Le Défi de TransferAI Africa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TransferAI Africa accompagne des entreprises africaines dans leur transition vers l'intelligence artificielle. En 2026, l'équipe fait face à un défi commun à toutes les organisations en croissance rapide :</w:t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thick" w:color="E8A020" w:sz="12"/>
              <w:left w:val="thick" w:color="E8A020" w:sz="24"/>
              <w:bottom w:val="single" w:color="E8A020" w:sz="4"/>
              <w:right w:val="single" w:color="E8A020" w:sz="4"/>
            </w:tcBorders>
            <w:shd w:fill="FEF3DC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40" w:before="20"/>
            </w:pPr>
            <w:r>
              <w:rPr>
                <w:rFonts w:ascii="Arial" w:cs="Arial" w:eastAsia="Arial" w:hAnsi="Arial"/>
                <w:b/>
                <w:bCs/>
                <w:color w:val="1B3F6E"/>
                <w:sz w:val="21"/>
                <w:szCs w:val="21"/>
              </w:rPr>
              <w:t xml:space="preserve">Le problème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1"/>
                <w:szCs w:val="21"/>
              </w:rPr>
              <w:t xml:space="preserve">Des centaines de documents internes — procédures, guides, réglementations, decks sectoriels — dispersés sur des drives, impossible à retrouver rapidement. Quand un consultant devait répondre à un client sur la réglementation UEMOA ou les étapes d'un audit IA, il perdait 30 minutes à chercher le bon document.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1"/>
                <w:szCs w:val="21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1"/>
                <w:szCs w:val="21"/>
              </w:rPr>
              <w:t xml:space="preserve">Les consultants perdaient en moyenne 2h par jour à chercher des informations dans leurs propres documents.</w:t>
            </w:r>
          </w:p>
        </w:tc>
      </w:tr>
    </w:tbl>
    <w:p>
      <w:pPr>
        <w:spacing w:after="60" w:before="12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1B3F6E"/>
          <w:sz w:val="26"/>
          <w:szCs w:val="26"/>
        </w:rPr>
        <w:t xml:space="preserve">2.2  La Solution : Une Base de Connaissance RAG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L'équipe TransferAI a décidé de construire son propre système RAG en utilisant les outils qu'elle maîtrise : n8n pour l'orchestration, Supabase pour le stockage vectoriel, et GPT-4o pour la génération.</w:t>
      </w:r>
    </w:p>
    <w:p>
      <w:pPr>
        <w:spacing w:after="80" w:before="80"/>
      </w:pPr>
      <w:r>
        <w:t xml:space="preserve"/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7D6B"/>
          <w:sz w:val="23"/>
          <w:szCs w:val="23"/>
        </w:rPr>
        <w:t xml:space="preserve">La Base Documentaire — 856 fichiers organisés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Voici la structure de la base de connaissance TransferAI, construite lors de ce projet :</w:t>
      </w:r>
    </w:p>
    <w:p>
      <w:pPr>
        <w:spacing w:after="80" w:before="80"/>
      </w:pPr>
      <w: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000"/>
        <w:gridCol w:w="2246"/>
        <w:gridCol w:w="2000"/>
        <w:gridCol w:w="2000"/>
      </w:tblGrid>
      <w:tr>
        <w:trPr>
          <w:tblHeader/>
        </w:trPr>
        <w:tc>
          <w:tcPr>
            <w:tcW w:type="dxa" w:w="5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F6E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0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F6E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Catégorie</w:t>
            </w:r>
          </w:p>
        </w:tc>
        <w:tc>
          <w:tcPr>
            <w:tcW w:type="dxa" w:w="2246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F6E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Contenu</w:t>
            </w:r>
          </w:p>
        </w:tc>
        <w:tc>
          <w:tcPr>
            <w:tcW w:type="dxa" w:w="20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F6E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Fichiers</w:t>
            </w:r>
          </w:p>
        </w:tc>
        <w:tc>
          <w:tcPr>
            <w:tcW w:type="dxa" w:w="20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F6E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Utilité RAG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01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20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Procedures Internes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Business plans, roadmaps, admin</w:t>
            </w:r>
          </w:p>
        </w:tc>
        <w:tc>
          <w:tcPr>
            <w:tcW w:type="dxa" w:w="224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Plans stratégiques, guides admin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60 fichiers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Questions internes, processus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5F0E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02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20"/>
            </w:pPr>
            <w:r>
              <w:rPr>
                <w:rFonts w:ascii="Arial" w:cs="Arial" w:eastAsia="Arial" w:hAnsi="Arial"/>
                <w:b/>
                <w:bCs/>
                <w:color w:val="0D7D6B"/>
                <w:sz w:val="20"/>
                <w:szCs w:val="20"/>
              </w:rPr>
              <w:t xml:space="preserve">Reglementation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RGPD, veille UEMOA/BCEAO</w:t>
            </w:r>
          </w:p>
        </w:tc>
        <w:tc>
          <w:tcPr>
            <w:tcW w:type="dxa" w:w="224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Cadre légal, conformité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5F0E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6 fichiers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Conformité, audits réglementaires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03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20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Guides &amp; Formations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Catalogues, kits, mini-guides</w:t>
            </w:r>
          </w:p>
        </w:tc>
        <w:tc>
          <w:tcPr>
            <w:tcW w:type="dxa" w:w="224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Formation IA, méthodologies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162 fichiers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Questions formation, pédagogie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EF3D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04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20"/>
            </w:pPr>
            <w:r>
              <w:rPr>
                <w:rFonts w:ascii="Arial" w:cs="Arial" w:eastAsia="Arial" w:hAnsi="Arial"/>
                <w:b/>
                <w:bCs/>
                <w:color w:val="E8A020"/>
                <w:sz w:val="20"/>
                <w:szCs w:val="20"/>
              </w:rPr>
              <w:t xml:space="preserve">Workflows Automatisation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Guides n8n, Supabase, Chatwoot</w:t>
            </w:r>
          </w:p>
        </w:tc>
        <w:tc>
          <w:tcPr>
            <w:tcW w:type="dxa" w:w="224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Documentation technique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EF3D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76 fichiers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Support technique, débogage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5F0E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05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20"/>
            </w:pPr>
            <w:r>
              <w:rPr>
                <w:rFonts w:ascii="Arial" w:cs="Arial" w:eastAsia="Arial" w:hAnsi="Arial"/>
                <w:b/>
                <w:bCs/>
                <w:color w:val="0D7D6B"/>
                <w:sz w:val="20"/>
                <w:szCs w:val="20"/>
              </w:rPr>
              <w:t xml:space="preserve">Prospection &amp; CRM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Pipelines, OpenClaw, CRM</w:t>
            </w:r>
          </w:p>
        </w:tc>
        <w:tc>
          <w:tcPr>
            <w:tcW w:type="dxa" w:w="224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Outils commerciaux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5F0E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82 fichiers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Questions commerciales, clients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06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20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Decks Sectoriels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21 secteurs : Banque, Telecom, Santé...</w:t>
            </w:r>
          </w:p>
        </w:tc>
        <w:tc>
          <w:tcPr>
            <w:tcW w:type="dxa" w:w="224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Pitch decks, analyses secteur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97 fichiers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Questions secteur, use cases IA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EF3D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07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20"/>
            </w:pPr>
            <w:r>
              <w:rPr>
                <w:rFonts w:ascii="Arial" w:cs="Arial" w:eastAsia="Arial" w:hAnsi="Arial"/>
                <w:b/>
                <w:bCs/>
                <w:color w:val="E8A020"/>
                <w:sz w:val="20"/>
                <w:szCs w:val="20"/>
              </w:rPr>
              <w:t xml:space="preserve">Knowledge Base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FAQ, KB complète, chatbot</w:t>
            </w:r>
          </w:p>
        </w:tc>
        <w:tc>
          <w:tcPr>
            <w:tcW w:type="dxa" w:w="224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Base de connaissance générale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EF3D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14 fichiers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Questions générales TransferAI</w:t>
            </w:r>
          </w:p>
        </w:tc>
      </w:tr>
    </w:tbl>
    <w:p>
      <w:pPr>
        <w:spacing w:after="80" w:before="14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1B3F6E"/>
          <w:sz w:val="26"/>
          <w:szCs w:val="26"/>
        </w:rPr>
        <w:t xml:space="preserve">2.3  La Transformation : Avant / Après</w:t>
      </w:r>
    </w:p>
    <w:p>
      <w:pPr>
        <w:spacing w:after="80" w:before="80"/>
      </w:pPr>
      <w: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160"/>
        <w:gridCol w:w="4786"/>
      </w:tblGrid>
      <w:tr>
        <w:tc>
          <w:tcPr>
            <w:tcW w:type="dxa" w:w="4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C0392B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AVANT le RAG</w:t>
            </w:r>
          </w:p>
        </w:tc>
        <w:tc>
          <w:tcPr>
            <w:tcW w:type="dxa" w:w="160"/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>
            <w:r>
              <w:t xml:space="preserve"/>
            </w:r>
          </w:p>
        </w:tc>
        <w:tc>
          <w:tcPr>
            <w:tcW w:type="dxa" w:w="4786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0D7D6B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APRES le RAG</w:t>
            </w:r>
          </w:p>
        </w:tc>
      </w:tr>
      <w:tr>
        <w:tc>
          <w:tcPr>
            <w:tcW w:type="dxa" w:w="4800"/>
            <w:tcBorders>
              <w:top w:val="single" w:color="DDDDDD" w:sz="1"/>
              <w:left w:val="thick" w:color="C0392B" w:sz="12"/>
              <w:bottom w:val="single" w:color="DDDDDD" w:sz="1"/>
              <w:right w:val="none"/>
            </w:tcBorders>
            <w:shd w:fill="FEE8E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before="60"/>
            </w:pPr>
            <w:r>
              <w:rPr>
                <w:rFonts w:ascii="Arial" w:cs="Arial" w:eastAsia="Arial" w:hAnsi="Arial"/>
                <w:color w:val="880000"/>
                <w:sz w:val="20"/>
                <w:szCs w:val="20"/>
              </w:rPr>
              <w:t xml:space="preserve">Chercher dans des emails et drives disparates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before="60"/>
            </w:pPr>
            <w:r>
              <w:rPr>
                <w:rFonts w:ascii="Arial" w:cs="Arial" w:eastAsia="Arial" w:hAnsi="Arial"/>
                <w:color w:val="880000"/>
                <w:sz w:val="20"/>
                <w:szCs w:val="20"/>
              </w:rPr>
              <w:t xml:space="preserve">30 min perdues en moyenne par recherche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before="60"/>
            </w:pPr>
            <w:r>
              <w:rPr>
                <w:rFonts w:ascii="Arial" w:cs="Arial" w:eastAsia="Arial" w:hAnsi="Arial"/>
                <w:color w:val="880000"/>
                <w:sz w:val="20"/>
                <w:szCs w:val="20"/>
              </w:rPr>
              <w:t xml:space="preserve">Informations souvent obsolètes ou incomplètes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before="60"/>
            </w:pPr>
            <w:r>
              <w:rPr>
                <w:rFonts w:ascii="Arial" w:cs="Arial" w:eastAsia="Arial" w:hAnsi="Arial"/>
                <w:color w:val="880000"/>
                <w:sz w:val="20"/>
                <w:szCs w:val="20"/>
              </w:rPr>
              <w:t xml:space="preserve">Impossible de savoir d'où vient l'information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before="60"/>
            </w:pPr>
            <w:r>
              <w:rPr>
                <w:rFonts w:ascii="Arial" w:cs="Arial" w:eastAsia="Arial" w:hAnsi="Arial"/>
                <w:color w:val="880000"/>
                <w:sz w:val="20"/>
                <w:szCs w:val="20"/>
              </w:rPr>
              <w:t xml:space="preserve">Charge mentale élevée pour les consultants</w:t>
            </w:r>
          </w:p>
        </w:tc>
        <w:tc>
          <w:tcPr>
            <w:tcW w:type="dxa" w:w="160"/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>
            <w:r>
              <w:t xml:space="preserve"/>
            </w:r>
          </w:p>
        </w:tc>
        <w:tc>
          <w:tcPr>
            <w:tcW w:type="dxa" w:w="4786"/>
            <w:tcBorders>
              <w:top w:val="single" w:color="DDDDDD" w:sz="1"/>
              <w:left w:val="thick" w:color="0D7D6B" w:sz="12"/>
              <w:bottom w:val="single" w:color="DDDDDD" w:sz="1"/>
              <w:right w:val="none"/>
            </w:tcBorders>
            <w:shd w:fill="D5F0E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60" w:before="60"/>
            </w:pPr>
            <w:r>
              <w:rPr>
                <w:rFonts w:ascii="Arial" w:cs="Arial" w:eastAsia="Arial" w:hAnsi="Arial"/>
                <w:color w:val="005544"/>
                <w:sz w:val="20"/>
                <w:szCs w:val="20"/>
              </w:rPr>
              <w:t xml:space="preserve">Une question en langage naturel, une réponse en 3 sec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before="60"/>
            </w:pPr>
            <w:r>
              <w:rPr>
                <w:rFonts w:ascii="Arial" w:cs="Arial" w:eastAsia="Arial" w:hAnsi="Arial"/>
                <w:color w:val="005544"/>
                <w:sz w:val="20"/>
                <w:szCs w:val="20"/>
              </w:rPr>
              <w:t xml:space="preserve">2h/jour récupérées par consultant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before="60"/>
            </w:pPr>
            <w:r>
              <w:rPr>
                <w:rFonts w:ascii="Arial" w:cs="Arial" w:eastAsia="Arial" w:hAnsi="Arial"/>
                <w:color w:val="005544"/>
                <w:sz w:val="20"/>
                <w:szCs w:val="20"/>
              </w:rPr>
              <w:t xml:space="preserve">Base synchronisée toutes les 6 heures automatiquement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before="60"/>
            </w:pPr>
            <w:r>
              <w:rPr>
                <w:rFonts w:ascii="Arial" w:cs="Arial" w:eastAsia="Arial" w:hAnsi="Arial"/>
                <w:color w:val="005544"/>
                <w:sz w:val="20"/>
                <w:szCs w:val="20"/>
              </w:rPr>
              <w:t xml:space="preserve">Sources citées avec liens vers les documents originaux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before="60"/>
            </w:pPr>
            <w:r>
              <w:rPr>
                <w:rFonts w:ascii="Arial" w:cs="Arial" w:eastAsia="Arial" w:hAnsi="Arial"/>
                <w:color w:val="005544"/>
                <w:sz w:val="20"/>
                <w:szCs w:val="20"/>
              </w:rPr>
              <w:t xml:space="preserve">Consultants focusés sur la valeur, pas la recherche</w:t>
            </w:r>
          </w:p>
        </w:tc>
      </w:tr>
    </w:tbl>
    <w:p>
      <w:pPr>
        <w:spacing w:after="80" w:before="200"/>
      </w:pPr>
      <w:r>
        <w:t xml:space="preserve"/>
      </w:r>
    </w:p>
    <w:p>
      <w:r>
        <w:br w:type="page"/>
      </w:r>
    </w:p>
    <w:p>
      <w:pPr>
        <w:pStyle w:val="Heading1"/>
        <w:spacing w:after="120" w:before="320"/>
      </w:pPr>
      <w:bookmarkStart w:name="part3" w:id="3"/>
      <w:r>
        <w:rPr>
          <w:rFonts w:ascii="Arial" w:cs="Arial" w:eastAsia="Arial" w:hAnsi="Arial"/>
          <w:b/>
          <w:bCs/>
          <w:color w:val="1B3F6E"/>
          <w:sz w:val="34"/>
          <w:szCs w:val="34"/>
        </w:rPr>
        <w:t xml:space="preserve">PARTIE 3 — Guide Utilisateur : Comment Poser les Bonnes Questions</w:t>
      </w:r>
      <w:bookmarkEnd w:id="3"/>
    </w:p>
    <w:p>
      <w:pPr>
        <w:pBdr>
          <w:bottom w:val="single" w:color="1B3F6E" w:sz="10" w:space="1"/>
        </w:pBdr>
        <w:spacing w:after="60" w:before="6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1B3F6E"/>
          <w:sz w:val="26"/>
          <w:szCs w:val="26"/>
        </w:rPr>
        <w:t xml:space="preserve">3.1  Accéder au Système RAG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système RAG TransferAI est accessible via trois canaux (mis à jour le 08 juillet 2026 : ajout de l’interface web) :</w:t>
      </w:r>
    </w:p>
    <w:p>
      <w:pPr>
        <w:spacing w:after="60" w:before="80"/>
      </w:pPr>
      <w: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4946"/>
      </w:tblGrid>
      <w:tr>
        <w:trPr>
          <w:tblHeader/>
        </w:trPr>
        <w:tc>
          <w:tcPr>
            <w:tcW w:type="dxa" w:w="4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F6E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Canal d'accès</w:t>
            </w:r>
          </w:p>
        </w:tc>
        <w:tc>
          <w:tcPr>
            <w:tcW w:type="dxa" w:w="4946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F6E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Comment l'utiliser</w:t>
            </w:r>
          </w:p>
        </w:tc>
      </w:tr>
      <w:tr>
        <w:tc>
          <w:tcPr>
            <w:tcW w:type="dxa" w:w="4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4F0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B3F6E"/>
                <w:sz w:val="22"/>
                <w:szCs w:val="22"/>
              </w:rPr>
              <w:t xml:space="preserve">Chatwoot (Interface principale)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0D7D6B"/>
                <w:sz w:val="20"/>
                <w:szCs w:val="20"/>
              </w:rPr>
              <w:t xml:space="preserve">app.chatwoot.com — Compte 163278</w:t>
            </w:r>
          </w:p>
        </w:tc>
        <w:tc>
          <w:tcPr>
            <w:tcW w:type="dxa" w:w="494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Ouvrez une conversation, tapez votre question en français ou anglais, envoyez. La réponse arrive en 3-8 secondes avec les sources.</w:t>
            </w:r>
          </w:p>
        </w:tc>
      </w:tr>
      <w:tr>
        <w:tc>
          <w:tcPr>
            <w:tcW w:type="dxa" w:w="4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3F2E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0D7D6B"/>
                <w:sz w:val="22"/>
                <w:szCs w:val="22"/>
              </w:rPr>
              <w:t xml:space="preserve">Interface Web (nouveau — 08/07/2026)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0D7D6B"/>
                <w:sz w:val="18"/>
                <w:szCs w:val="18"/>
              </w:rPr>
              <w:t xml:space="preserve">www.transferai.ci/demo/recherche-documentaire</w:t>
            </w:r>
          </w:p>
        </w:tc>
        <w:tc>
          <w:tcPr>
            <w:tcW w:type="dxa" w:w="494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Ouvrez la page dans un navigateur, tapez votre question, cliquez sur “Lancer la recherche”. Aucune compétence technique requise — le point d’entrée le plus simple pour un collègue qui ne connaît ni Chatwoot ni les API.</w:t>
            </w:r>
          </w:p>
        </w:tc>
      </w:tr>
      <w:tr>
        <w:tc>
          <w:tcPr>
            <w:tcW w:type="dxa" w:w="4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EF3D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E8A020"/>
                <w:sz w:val="22"/>
                <w:szCs w:val="22"/>
              </w:rPr>
              <w:t xml:space="preserve">API Webhook (Intégration)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POST /webhook/recherche-documentaire (externe) ou /webhook/recherche-documentaire-interne (interne)</w:t>
            </w:r>
          </w:p>
        </w:tc>
        <w:tc>
          <w:tcPr>
            <w:tcW w:type="dxa" w:w="494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Pour les développeurs : envoyez une requête JSON avec question, utilisateur et session_id. Le endpoint “externe” (workflow Recherche_Documentaire_RAG_v4_complet) anonymise les données et escalade vers Chatwoot si aucune réponse fiable n’est trouvée ; le endpoint “interne” (workflow Recherche_Documentaire_RAG) est plus simple, réservé à l’équipe.</w:t>
            </w:r>
          </w:p>
        </w:tc>
      </w:tr>
    </w:tbl>
    <w:p>
      <w:pPr>
        <w:spacing w:after="80" w:before="16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1B3F6E"/>
          <w:sz w:val="26"/>
          <w:szCs w:val="26"/>
        </w:rPr>
        <w:t xml:space="preserve">3.2  Exemples de Questions — Testées en direct contre la base réelle (09/07/2026, après correctif)</w:t>
      </w:r>
    </w:p>
    <w:p>
      <w:pPr>
        <w:spacing w:after="160" w:before="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Les 10 questions ci-dessous ont été posées directement au RAG en production. Un premier test le 09/07 avait révélé que 226 des 257 morceaux de documents (88 %) n’avaient jamais été vectorisés, limitant fortement la couverture réelle (4 questions sur 10 sans aucune source). Deux correctifs ont été appliqués le jour même : recalcul des embeddings manquants (couverture désormais 257/257) et relèvement du seuil de similarité de 0.2 à 0.5 pour filtrer le bruit sans exclure les bonnes réponses. Après correctif, 9 questions sur 10 obtiennent une réponse fiable et sourcée.</w:t>
      </w: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4600"/>
        <w:gridCol w:w="4896"/>
      </w:tblGrid>
      <w:tr>
        <w:trPr>
          <w:tblHeader/>
        </w:trPr>
        <w:tc>
          <w:tcPr>
            <w:tcW w:type="dxa" w:w="85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F6E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Score</w:t>
            </w:r>
          </w:p>
        </w:tc>
        <w:tc>
          <w:tcPr>
            <w:tcW w:type="dxa" w:w="46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F6E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Question posée en démo</w:t>
            </w:r>
          </w:p>
        </w:tc>
        <w:tc>
          <w:tcPr>
            <w:tcW w:type="dxa" w:w="4896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F6E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Ce que ça illustre pour les participants</w:t>
            </w:r>
          </w:p>
        </w:tc>
      </w:tr>
      <w:tr>
        <w:tc>
          <w:tcPr>
            <w:tcW w:type="dxa" w:w="850"/>
            <w:tcBorders>
              <w:top w:val="single" w:color="FFFFFF" w:sz="1"/>
              <w:left w:val="none"/>
              <w:bottom w:val="single" w:color="FFFFFF" w:sz="1"/>
              <w:right w:val="none"/>
            </w:tcBorders>
            <w:shd w:fill="0D7D6B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77%</w:t>
            </w:r>
          </w:p>
        </w:tc>
        <w:tc>
          <w:tcPr>
            <w:tcW w:type="dxa" w:w="4600"/>
            <w:tcBorders>
              <w:top w:val="single" w:color="DDDDDD" w:sz="1"/>
              <w:left w:val="none"/>
              <w:bottom w:val="single" w:color="DDDDDD" w:sz="1"/>
              <w:right w:val="single" w:color="DDDDDD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i/>
                <w:iCs/>
                <w:color w:val="1B3F6E"/>
                <w:sz w:val="20"/>
                <w:szCs w:val="20"/>
              </w:rPr>
              <w:t xml:space="preserve">Que couvre le jour 2 de la formation sur la gestion documentaire et l’IA responsable ?</w:t>
            </w:r>
          </w:p>
        </w:tc>
        <w:tc>
          <w:tcPr>
            <w:tcW w:type="dxa" w:w="4896"/>
            <w:tcBorders>
              <w:top w:val="single" w:color="DDDDDD" w:sz="1"/>
              <w:left w:val="single" w:color="DDDDDD" w:sz="1"/>
              <w:bottom w:val="single" w:color="DDDDDD" w:sz="1"/>
              <w:right w:val="none"/>
            </w:tcBorders>
            <w:shd w:fill="F4F4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Réponse détaillée et exacte, citant la bonne section du programme.</w:t>
            </w:r>
          </w:p>
        </w:tc>
      </w:tr>
      <w:tr>
        <w:tc>
          <w:tcPr>
            <w:tcW w:type="dxa" w:w="850"/>
            <w:tcBorders>
              <w:top w:val="single" w:color="FFFFFF" w:sz="1"/>
              <w:left w:val="none"/>
              <w:bottom w:val="single" w:color="FFFFFF" w:sz="1"/>
              <w:right w:val="none"/>
            </w:tcBorders>
            <w:shd w:fill="0D7D6B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78%</w:t>
            </w:r>
          </w:p>
        </w:tc>
        <w:tc>
          <w:tcPr>
            <w:tcW w:type="dxa" w:w="4600"/>
            <w:tcBorders>
              <w:top w:val="single" w:color="DDDDDD" w:sz="1"/>
              <w:left w:val="none"/>
              <w:bottom w:val="single" w:color="DDDDDD" w:sz="1"/>
              <w:right w:val="single" w:color="DDDDDD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i/>
                <w:iCs/>
                <w:color w:val="1B3F6E"/>
                <w:sz w:val="20"/>
                <w:szCs w:val="20"/>
              </w:rPr>
              <w:t xml:space="preserve">Quel cas d’usage IA existe pour le dossier de crédit KYC et la veille réglementaire BCEAO-UEMOA ?</w:t>
            </w:r>
          </w:p>
        </w:tc>
        <w:tc>
          <w:tcPr>
            <w:tcW w:type="dxa" w:w="4896"/>
            <w:tcBorders>
              <w:top w:val="single" w:color="DDDDDD" w:sz="1"/>
              <w:left w:val="single" w:color="DDDDDD" w:sz="1"/>
              <w:bottom w:val="single" w:color="DDDDDD" w:sz="1"/>
              <w:right w:val="none"/>
            </w:tcBorders>
            <w:shd w:fill="F4F4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Réponse détaillée et exacte sur un cas d’usage sectoriel réel.</w:t>
            </w:r>
          </w:p>
        </w:tc>
      </w:tr>
      <w:tr>
        <w:tc>
          <w:tcPr>
            <w:tcW w:type="dxa" w:w="850"/>
            <w:tcBorders>
              <w:top w:val="single" w:color="FFFFFF" w:sz="1"/>
              <w:left w:val="none"/>
              <w:bottom w:val="single" w:color="FFFFFF" w:sz="1"/>
              <w:right w:val="none"/>
            </w:tcBorders>
            <w:shd w:fill="0D7D6B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76%</w:t>
            </w:r>
          </w:p>
        </w:tc>
        <w:tc>
          <w:tcPr>
            <w:tcW w:type="dxa" w:w="4600"/>
            <w:tcBorders>
              <w:top w:val="single" w:color="DDDDDD" w:sz="1"/>
              <w:left w:val="none"/>
              <w:bottom w:val="single" w:color="DDDDDD" w:sz="1"/>
              <w:right w:val="single" w:color="DDDDDD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i/>
                <w:iCs/>
                <w:color w:val="1B3F6E"/>
                <w:sz w:val="20"/>
                <w:szCs w:val="20"/>
              </w:rPr>
              <w:t xml:space="preserve">Comment fonctionne le cas d’usage de courrier automatique avec validation humaine ?</w:t>
            </w:r>
          </w:p>
        </w:tc>
        <w:tc>
          <w:tcPr>
            <w:tcW w:type="dxa" w:w="4896"/>
            <w:tcBorders>
              <w:top w:val="single" w:color="DDDDDD" w:sz="1"/>
              <w:left w:val="single" w:color="DDDDDD" w:sz="1"/>
              <w:bottom w:val="single" w:color="DDDDDD" w:sz="1"/>
              <w:right w:val="none"/>
            </w:tcBorders>
            <w:shd w:fill="F4F4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Réponse complète (avant backfill : 51 %, non exploitable de façon fiable).</w:t>
            </w:r>
          </w:p>
        </w:tc>
      </w:tr>
      <w:tr>
        <w:tc>
          <w:tcPr>
            <w:tcW w:type="dxa" w:w="850"/>
            <w:tcBorders>
              <w:top w:val="single" w:color="FFFFFF" w:sz="1"/>
              <w:left w:val="none"/>
              <w:bottom w:val="single" w:color="FFFFFF" w:sz="1"/>
              <w:right w:val="none"/>
            </w:tcBorders>
            <w:shd w:fill="0D7D6B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54%</w:t>
            </w:r>
          </w:p>
        </w:tc>
        <w:tc>
          <w:tcPr>
            <w:tcW w:type="dxa" w:w="4600"/>
            <w:tcBorders>
              <w:top w:val="single" w:color="DDDDDD" w:sz="1"/>
              <w:left w:val="none"/>
              <w:bottom w:val="single" w:color="DDDDDD" w:sz="1"/>
              <w:right w:val="single" w:color="DDDDDD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i/>
                <w:iCs/>
                <w:color w:val="1B3F6E"/>
                <w:sz w:val="20"/>
                <w:szCs w:val="20"/>
              </w:rPr>
              <w:t xml:space="preserve">Quelle est l’approche pratique adaptée aux environnements sensibles ?</w:t>
            </w:r>
          </w:p>
        </w:tc>
        <w:tc>
          <w:tcPr>
            <w:tcW w:type="dxa" w:w="4896"/>
            <w:tcBorders>
              <w:top w:val="single" w:color="DDDDDD" w:sz="1"/>
              <w:left w:val="single" w:color="DDDDDD" w:sz="1"/>
              <w:bottom w:val="single" w:color="DDDDDD" w:sz="1"/>
              <w:right w:val="none"/>
            </w:tcBorders>
            <w:shd w:fill="F4F4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Réponse cohérente (avant backfill : 45 %).</w:t>
            </w:r>
          </w:p>
        </w:tc>
      </w:tr>
      <w:tr>
        <w:tc>
          <w:tcPr>
            <w:tcW w:type="dxa" w:w="850"/>
            <w:tcBorders>
              <w:top w:val="single" w:color="FFFFFF" w:sz="1"/>
              <w:left w:val="none"/>
              <w:bottom w:val="single" w:color="FFFFFF" w:sz="1"/>
              <w:right w:val="none"/>
            </w:tcBorders>
            <w:shd w:fill="0D7D6B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62%</w:t>
            </w:r>
          </w:p>
        </w:tc>
        <w:tc>
          <w:tcPr>
            <w:tcW w:type="dxa" w:w="4600"/>
            <w:tcBorders>
              <w:top w:val="single" w:color="DDDDDD" w:sz="1"/>
              <w:left w:val="none"/>
              <w:bottom w:val="single" w:color="DDDDDD" w:sz="1"/>
              <w:right w:val="single" w:color="DDDDDD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i/>
                <w:iCs/>
                <w:color w:val="1B3F6E"/>
                <w:sz w:val="20"/>
                <w:szCs w:val="20"/>
              </w:rPr>
              <w:t xml:space="preserve">Quels livrables individuels reçoivent les participants après la formation ?</w:t>
            </w:r>
          </w:p>
        </w:tc>
        <w:tc>
          <w:tcPr>
            <w:tcW w:type="dxa" w:w="4896"/>
            <w:tcBorders>
              <w:top w:val="single" w:color="DDDDDD" w:sz="1"/>
              <w:left w:val="single" w:color="DDDDDD" w:sz="1"/>
              <w:bottom w:val="single" w:color="DDDDDD" w:sz="1"/>
              <w:right w:val="none"/>
            </w:tcBorders>
            <w:shd w:fill="F4F4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Réponse détaillée (attestation, etc.) — avant backfill : 57 %.</w:t>
            </w:r>
          </w:p>
        </w:tc>
      </w:tr>
      <w:tr>
        <w:tc>
          <w:tcPr>
            <w:tcW w:type="dxa" w:w="850"/>
            <w:tcBorders>
              <w:top w:val="single" w:color="FFFFFF" w:sz="1"/>
              <w:left w:val="none"/>
              <w:bottom w:val="single" w:color="FFFFFF" w:sz="1"/>
              <w:right w:val="none"/>
            </w:tcBorders>
            <w:shd w:fill="0D7D6B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63%</w:t>
            </w:r>
          </w:p>
        </w:tc>
        <w:tc>
          <w:tcPr>
            <w:tcW w:type="dxa" w:w="4600"/>
            <w:tcBorders>
              <w:top w:val="single" w:color="DDDDDD" w:sz="1"/>
              <w:left w:val="none"/>
              <w:bottom w:val="single" w:color="DDDDDD" w:sz="1"/>
              <w:right w:val="single" w:color="DDDDDD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i/>
                <w:iCs/>
                <w:color w:val="1B3F6E"/>
                <w:sz w:val="20"/>
                <w:szCs w:val="20"/>
              </w:rPr>
              <w:t xml:space="preserve">Qui est le public concerné par le programme de formation IA ?</w:t>
            </w:r>
          </w:p>
        </w:tc>
        <w:tc>
          <w:tcPr>
            <w:tcW w:type="dxa" w:w="4896"/>
            <w:tcBorders>
              <w:top w:val="single" w:color="DDDDDD" w:sz="1"/>
              <w:left w:val="single" w:color="DDDDDD" w:sz="1"/>
              <w:bottom w:val="single" w:color="DDDDDD" w:sz="1"/>
              <w:right w:val="none"/>
            </w:tcBorders>
            <w:shd w:fill="F4F4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Réponse cohérente (avant backfill : 45 %, le système répondait « je n’ai pas trouvé » malgré une source existante).</w:t>
            </w:r>
          </w:p>
        </w:tc>
      </w:tr>
      <w:tr>
        <w:tc>
          <w:tcPr>
            <w:tcW w:type="dxa" w:w="850"/>
            <w:tcBorders>
              <w:top w:val="single" w:color="FFFFFF" w:sz="1"/>
              <w:left w:val="none"/>
              <w:bottom w:val="single" w:color="FFFFFF" w:sz="1"/>
              <w:right w:val="none"/>
            </w:tcBorders>
            <w:shd w:fill="0D7D6B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61%</w:t>
            </w:r>
          </w:p>
        </w:tc>
        <w:tc>
          <w:tcPr>
            <w:tcW w:type="dxa" w:w="4600"/>
            <w:tcBorders>
              <w:top w:val="single" w:color="DDDDDD" w:sz="1"/>
              <w:left w:val="none"/>
              <w:bottom w:val="single" w:color="DDDDDD" w:sz="1"/>
              <w:right w:val="single" w:color="DDDDDD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i/>
                <w:iCs/>
                <w:color w:val="1B3F6E"/>
                <w:sz w:val="20"/>
                <w:szCs w:val="20"/>
              </w:rPr>
              <w:t xml:space="preserve">Quelle est l’offre commerciale globale de TransferAI ?</w:t>
            </w:r>
          </w:p>
        </w:tc>
        <w:tc>
          <w:tcPr>
            <w:tcW w:type="dxa" w:w="4896"/>
            <w:tcBorders>
              <w:top w:val="single" w:color="DDDDDD" w:sz="1"/>
              <w:left w:val="single" w:color="DDDDDD" w:sz="1"/>
              <w:bottom w:val="single" w:color="DDDDDD" w:sz="1"/>
              <w:right w:val="none"/>
            </w:tcBorders>
            <w:shd w:fill="F4F4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Réponse détaillée (avant backfill : 0 source, malgré un document dédié existant — voir guide troubleshooting section 3.10).</w:t>
            </w:r>
          </w:p>
        </w:tc>
      </w:tr>
      <w:tr>
        <w:tc>
          <w:tcPr>
            <w:tcW w:type="dxa" w:w="850"/>
            <w:tcBorders>
              <w:top w:val="single" w:color="FFFFFF" w:sz="1"/>
              <w:left w:val="none"/>
              <w:bottom w:val="single" w:color="FFFFFF" w:sz="1"/>
              <w:right w:val="none"/>
            </w:tcBorders>
            <w:shd w:fill="0D7D6B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69%</w:t>
            </w:r>
          </w:p>
        </w:tc>
        <w:tc>
          <w:tcPr>
            <w:tcW w:type="dxa" w:w="4600"/>
            <w:tcBorders>
              <w:top w:val="single" w:color="DDDDDD" w:sz="1"/>
              <w:left w:val="none"/>
              <w:bottom w:val="single" w:color="DDDDDD" w:sz="1"/>
              <w:right w:val="single" w:color="DDDDDD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i/>
                <w:iCs/>
                <w:color w:val="1B3F6E"/>
                <w:sz w:val="20"/>
                <w:szCs w:val="20"/>
              </w:rPr>
              <w:t xml:space="preserve">Quels sont les différenciateurs de TransferAI par rapport aux autres organismes de formation ?</w:t>
            </w:r>
          </w:p>
        </w:tc>
        <w:tc>
          <w:tcPr>
            <w:tcW w:type="dxa" w:w="4896"/>
            <w:tcBorders>
              <w:top w:val="single" w:color="DDDDDD" w:sz="1"/>
              <w:left w:val="single" w:color="DDDDDD" w:sz="1"/>
              <w:bottom w:val="single" w:color="DDDDDD" w:sz="1"/>
              <w:right w:val="none"/>
            </w:tcBorders>
            <w:shd w:fill="F4F4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Réponse détaillée (avant backfill : 0 source).</w:t>
            </w:r>
          </w:p>
        </w:tc>
      </w:tr>
      <w:tr>
        <w:tc>
          <w:tcPr>
            <w:tcW w:type="dxa" w:w="850"/>
            <w:tcBorders>
              <w:top w:val="single" w:color="FFFFFF" w:sz="1"/>
              <w:left w:val="none"/>
              <w:bottom w:val="single" w:color="FFFFFF" w:sz="1"/>
              <w:right w:val="none"/>
            </w:tcBorders>
            <w:shd w:fill="0D7D6B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74%</w:t>
            </w:r>
          </w:p>
        </w:tc>
        <w:tc>
          <w:tcPr>
            <w:tcW w:type="dxa" w:w="4600"/>
            <w:tcBorders>
              <w:top w:val="single" w:color="DDDDDD" w:sz="1"/>
              <w:left w:val="none"/>
              <w:bottom w:val="single" w:color="DDDDDD" w:sz="1"/>
              <w:right w:val="single" w:color="DDDDDD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i/>
                <w:iCs/>
                <w:color w:val="1B3F6E"/>
                <w:sz w:val="20"/>
                <w:szCs w:val="20"/>
              </w:rPr>
              <w:t xml:space="preserve">Quel cas d’usage IA concerne la recherche documentaire intelligente (RAG) ?</w:t>
            </w:r>
          </w:p>
        </w:tc>
        <w:tc>
          <w:tcPr>
            <w:tcW w:type="dxa" w:w="4896"/>
            <w:tcBorders>
              <w:top w:val="single" w:color="DDDDDD" w:sz="1"/>
              <w:left w:val="single" w:color="DDDDDD" w:sz="1"/>
              <w:bottom w:val="single" w:color="DDDDDD" w:sz="1"/>
              <w:right w:val="none"/>
            </w:tcBorders>
            <w:shd w:fill="F4F4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Trouve le bon document (avant backfill : 0 source, malgré un document existant mot pour mot).</w:t>
            </w:r>
          </w:p>
        </w:tc>
      </w:tr>
      <w:tr>
        <w:tc>
          <w:tcPr>
            <w:tcW w:type="dxa" w:w="850"/>
            <w:tcBorders>
              <w:top w:val="single" w:color="FFFFFF" w:sz="1"/>
              <w:left w:val="none"/>
              <w:bottom w:val="single" w:color="FFFFFF" w:sz="1"/>
              <w:right w:val="none"/>
            </w:tcBorders>
            <w:shd w:fill="C0392B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0%</w:t>
            </w:r>
          </w:p>
        </w:tc>
        <w:tc>
          <w:tcPr>
            <w:tcW w:type="dxa" w:w="4600"/>
            <w:tcBorders>
              <w:top w:val="single" w:color="DDDDDD" w:sz="1"/>
              <w:left w:val="none"/>
              <w:bottom w:val="single" w:color="DDDDDD" w:sz="1"/>
              <w:right w:val="single" w:color="DDDDDD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i/>
                <w:iCs/>
                <w:color w:val="1B3F6E"/>
                <w:sz w:val="20"/>
                <w:szCs w:val="20"/>
              </w:rPr>
              <w:t xml:space="preserve">Quelle est la météo à Abidjan demain ?</w:t>
            </w:r>
          </w:p>
        </w:tc>
        <w:tc>
          <w:tcPr>
            <w:tcW w:type="dxa" w:w="4896"/>
            <w:tcBorders>
              <w:top w:val="single" w:color="DDDDDD" w:sz="1"/>
              <w:left w:val="single" w:color="DDDDDD" w:sz="1"/>
              <w:bottom w:val="single" w:color="DDDDDD" w:sz="1"/>
              <w:right w:val="none"/>
            </w:tcBorders>
            <w:shd w:fill="F4F4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Hors-sujet total → le RAG refuse toujours de répondre, ne dérive pas, ne hallucine jamais — seul exemple de refus conservé dans la liste pour illustrer le garde-fou.</w:t>
            </w:r>
          </w:p>
        </w:tc>
      </w:tr>
    </w:tbl>
    <w:p>
      <w:pPr>
        <w:spacing w:after="40" w:before="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/>
      </w:r>
    </w:p>
    <w:p>
      <w:pPr>
        <w:pBdr>
          <w:left w:val="single" w:color="1B3F6E" w:sz="18" w:space="8"/>
        </w:pBdr>
        <w:shd w:fill="D9E8F5" w:val="clear"/>
        <w:spacing w:after="200" w:before="120"/>
        <w:ind w:left="120"/>
      </w:pPr>
      <w:r>
        <w:rPr>
          <w:rFonts w:ascii="Arial" w:cs="Arial" w:eastAsia="Arial" w:hAnsi="Arial"/>
          <w:i/>
          <w:iCs/>
          <w:color w:val="1B3F6E"/>
          <w:sz w:val="20"/>
          <w:szCs w:val="20"/>
        </w:rPr>
        <w:t xml:space="preserve">Comment présenter ça aux participants : questions 1-9 pour montrer des réponses fiables et sourcées à des niveaux de score variés (54 % à 78 %) ; question 10 pour montrer que le système refuse toujours d’inventer une réponse hors de son périmètre documentaire, même à seuil plus permissif — c’est le message rassurant à faire passer sur la fiabilité et la sécurité du RAG.</w:t>
      </w:r>
    </w:p>
    <w:p>
      <w:pPr>
        <w:pBdr>
          <w:left w:val="single" w:color="E8A020" w:sz="18" w:space="8"/>
        </w:pBdr>
        <w:shd w:fill="FEF3DC" w:val="clear"/>
        <w:spacing w:after="200" w:before="120"/>
        <w:ind w:left="120"/>
      </w:pPr>
      <w:r>
        <w:rPr>
          <w:rFonts w:ascii="Arial" w:cs="Arial" w:eastAsia="Arial" w:hAnsi="Arial"/>
          <w:i/>
          <w:iCs/>
          <w:color w:val="1B3F6E"/>
          <w:sz w:val="20"/>
          <w:szCs w:val="20"/>
        </w:rPr>
        <w:t xml:space="preserve">Recommandation avant le 18 juillet : refaire un test à blanc de ces 10 questions la veille de la formation. Les scores peuvent légèrement varier si de nouveaux documents sont ingérés entre-temps (cycle d’ingestion automatique toutes les 6h). Voir aussi la grille de lecture des scores en partie 1.3 pour expliquer aux participants comment interpréter chaque pourcentage affiché.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1B3F6E"/>
          <w:sz w:val="26"/>
          <w:szCs w:val="26"/>
        </w:rPr>
        <w:t xml:space="preserve">3.3  Bonnes Pratiques — Formuler une Bonne Question</w:t>
      </w:r>
    </w:p>
    <w:p>
      <w:pPr>
        <w:spacing w:after="80" w:before="80"/>
      </w:pPr>
      <w: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0"/>
        <w:gridCol w:w="4"/>
        <w:gridCol w:w="5042"/>
      </w:tblGrid>
      <w:tr>
        <w:trPr>
          <w:tblHeader/>
        </w:trPr>
        <w:tc>
          <w:tcPr>
            <w:tcW w:type="dxa" w:w="47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C0392B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Questions peu efficaces</w:t>
            </w:r>
          </w:p>
        </w:tc>
        <w:tc>
          <w:tcPr>
            <w:tcW w:type="dxa" w:w="4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5042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0D7D6B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Questions très efficaces</w:t>
            </w:r>
          </w:p>
        </w:tc>
      </w:tr>
      <w:tr>
        <w:tc>
          <w:tcPr>
            <w:tcW w:type="dxa" w:w="4700"/>
            <w:tcBorders>
              <w:top w:val="single" w:color="FFCCCC" w:sz="1"/>
              <w:left w:val="single" w:color="FFCCCC" w:sz="1"/>
              <w:bottom w:val="single" w:color="FFCCCC" w:sz="1"/>
              <w:right w:val="none"/>
            </w:tcBorders>
            <w:shd w:fill="FEE8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C0392B"/>
                <w:sz w:val="20"/>
                <w:szCs w:val="20"/>
              </w:rPr>
              <w:t xml:space="preserve">✗  Parle-moi de la banque</w:t>
            </w:r>
          </w:p>
        </w:tc>
        <w:tc>
          <w:tcPr>
            <w:tcW w:type="dxa" w:w="4"/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>
            <w:r>
              <w:t xml:space="preserve"/>
            </w:r>
          </w:p>
        </w:tc>
        <w:tc>
          <w:tcPr>
            <w:tcW w:type="dxa" w:w="5042"/>
            <w:tcBorders>
              <w:top w:val="single" w:color="AADDCC" w:sz="1"/>
              <w:left w:val="none"/>
              <w:bottom w:val="single" w:color="AADDCC" w:sz="1"/>
              <w:right w:val="single" w:color="AADDCC" w:sz="1"/>
            </w:tcBorders>
            <w:shd w:fill="D5F0E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0D7D6B"/>
                <w:sz w:val="20"/>
                <w:szCs w:val="20"/>
              </w:rPr>
              <w:t xml:space="preserve">✓  Quels sont les 3 principaux cas d'usage IA dans les banques africaines selon nos decks ?</w:t>
            </w:r>
          </w:p>
        </w:tc>
      </w:tr>
      <w:tr>
        <w:tc>
          <w:tcPr>
            <w:tcW w:type="dxa" w:w="4700"/>
            <w:tcBorders>
              <w:top w:val="single" w:color="FFCCCC" w:sz="1"/>
              <w:left w:val="single" w:color="FFCCCC" w:sz="1"/>
              <w:bottom w:val="single" w:color="FFCCCC" w:sz="1"/>
              <w:right w:val="none"/>
            </w:tcBorders>
            <w:shd w:fill="FEE8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C0392B"/>
                <w:sz w:val="20"/>
                <w:szCs w:val="20"/>
              </w:rPr>
              <w:t xml:space="preserve">✗  Réglementation</w:t>
            </w:r>
          </w:p>
        </w:tc>
        <w:tc>
          <w:tcPr>
            <w:tcW w:type="dxa" w:w="4"/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>
            <w:r>
              <w:t xml:space="preserve"/>
            </w:r>
          </w:p>
        </w:tc>
        <w:tc>
          <w:tcPr>
            <w:tcW w:type="dxa" w:w="5042"/>
            <w:tcBorders>
              <w:top w:val="single" w:color="AADDCC" w:sz="1"/>
              <w:left w:val="none"/>
              <w:bottom w:val="single" w:color="AADDCC" w:sz="1"/>
              <w:right w:val="single" w:color="AADDCC" w:sz="1"/>
            </w:tcBorders>
            <w:shd w:fill="D5F0E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0D7D6B"/>
                <w:sz w:val="20"/>
                <w:szCs w:val="20"/>
              </w:rPr>
              <w:t xml:space="preserve">✓  Quelles sont les obligations légales pour une fintech en Côte d'Ivoire en 2026 ?</w:t>
            </w:r>
          </w:p>
        </w:tc>
      </w:tr>
      <w:tr>
        <w:tc>
          <w:tcPr>
            <w:tcW w:type="dxa" w:w="4700"/>
            <w:tcBorders>
              <w:top w:val="single" w:color="FFCCCC" w:sz="1"/>
              <w:left w:val="single" w:color="FFCCCC" w:sz="1"/>
              <w:bottom w:val="single" w:color="FFCCCC" w:sz="1"/>
              <w:right w:val="none"/>
            </w:tcBorders>
            <w:shd w:fill="FEE8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C0392B"/>
                <w:sz w:val="20"/>
                <w:szCs w:val="20"/>
              </w:rPr>
              <w:t xml:space="preserve">✗  Comment on fait l'audit ?</w:t>
            </w:r>
          </w:p>
        </w:tc>
        <w:tc>
          <w:tcPr>
            <w:tcW w:type="dxa" w:w="4"/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>
            <w:r>
              <w:t xml:space="preserve"/>
            </w:r>
          </w:p>
        </w:tc>
        <w:tc>
          <w:tcPr>
            <w:tcW w:type="dxa" w:w="5042"/>
            <w:tcBorders>
              <w:top w:val="single" w:color="AADDCC" w:sz="1"/>
              <w:left w:val="none"/>
              <w:bottom w:val="single" w:color="AADDCC" w:sz="1"/>
              <w:right w:val="single" w:color="AADDCC" w:sz="1"/>
            </w:tcBorders>
            <w:shd w:fill="D5F0E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0D7D6B"/>
                <w:sz w:val="20"/>
                <w:szCs w:val="20"/>
              </w:rPr>
              <w:t xml:space="preserve">✓  Quelles sont les étapes de l'audit IA de TransferAI pour un client industrie manufacturière ?</w:t>
            </w:r>
          </w:p>
        </w:tc>
      </w:tr>
      <w:tr>
        <w:tc>
          <w:tcPr>
            <w:tcW w:type="dxa" w:w="4700"/>
            <w:tcBorders>
              <w:top w:val="single" w:color="FFCCCC" w:sz="1"/>
              <w:left w:val="single" w:color="FFCCCC" w:sz="1"/>
              <w:bottom w:val="single" w:color="FFCCCC" w:sz="1"/>
              <w:right w:val="none"/>
            </w:tcBorders>
            <w:shd w:fill="FEE8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C0392B"/>
                <w:sz w:val="20"/>
                <w:szCs w:val="20"/>
              </w:rPr>
              <w:t xml:space="preserve">✗  Donne-moi des infos</w:t>
            </w:r>
          </w:p>
        </w:tc>
        <w:tc>
          <w:tcPr>
            <w:tcW w:type="dxa" w:w="4"/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>
            <w:r>
              <w:t xml:space="preserve"/>
            </w:r>
          </w:p>
        </w:tc>
        <w:tc>
          <w:tcPr>
            <w:tcW w:type="dxa" w:w="5042"/>
            <w:tcBorders>
              <w:top w:val="single" w:color="AADDCC" w:sz="1"/>
              <w:left w:val="none"/>
              <w:bottom w:val="single" w:color="AADDCC" w:sz="1"/>
              <w:right w:val="single" w:color="AADDCC" w:sz="1"/>
            </w:tcBorders>
            <w:shd w:fill="D5F0E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0D7D6B"/>
                <w:sz w:val="20"/>
                <w:szCs w:val="20"/>
              </w:rPr>
              <w:t xml:space="preserve">✓  Quel est le modèle de tarification de TransferAI pour les entreprises de plus de 500 employés ?</w:t>
            </w:r>
          </w:p>
        </w:tc>
      </w:tr>
    </w:tbl>
    <w:p>
      <w:pPr>
        <w:spacing w:after="80" w:before="200"/>
      </w:pPr>
      <w:r>
        <w:t xml:space="preserve"/>
      </w:r>
    </w:p>
    <w:p>
      <w:r>
        <w:br w:type="page"/>
      </w:r>
    </w:p>
    <w:p>
      <w:pPr>
        <w:pStyle w:val="Heading1"/>
        <w:spacing w:after="120" w:before="320"/>
      </w:pPr>
      <w:bookmarkStart w:name="part4" w:id="4"/>
      <w:r>
        <w:rPr>
          <w:rFonts w:ascii="Arial" w:cs="Arial" w:eastAsia="Arial" w:hAnsi="Arial"/>
          <w:b/>
          <w:bCs/>
          <w:color w:val="1B3F6E"/>
          <w:sz w:val="34"/>
          <w:szCs w:val="34"/>
        </w:rPr>
        <w:t xml:space="preserve">PARTIE 4 — Guide de Dépannage</w:t>
      </w:r>
      <w:bookmarkEnd w:id="4"/>
    </w:p>
    <w:p>
      <w:pPr>
        <w:pBdr>
          <w:bottom w:val="single" w:color="C0392B" w:sz="10" w:space="1"/>
        </w:pBdr>
        <w:spacing w:after="60" w:before="60"/>
      </w:pPr>
      <w: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Ce guide couvre les problèmes les plus fréquents. Pour chaque problème, nous indiquons la sévérité, la cause probable et les actions correctives.</w:t>
      </w:r>
    </w:p>
    <w:p>
      <w:pPr>
        <w:spacing w:after="80" w:before="80"/>
      </w:pPr>
      <w: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2"/>
        <w:gridCol w:w="3082"/>
        <w:gridCol w:w="3582"/>
      </w:tblGrid>
      <w:tr>
        <w:tc>
          <w:tcPr>
            <w:tcW w:type="dxa" w:w="3082"/>
            <w:tcBorders>
              <w:top w:val="single" w:color="AADDCC" w:sz="1"/>
              <w:left w:val="single" w:color="AADDCC" w:sz="1"/>
              <w:bottom w:val="single" w:color="AADDCC" w:sz="1"/>
              <w:right w:val="single" w:color="AADDCC" w:sz="1"/>
            </w:tcBorders>
            <w:shd w:fill="D5F0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D7D6B"/>
                <w:sz w:val="19"/>
                <w:szCs w:val="19"/>
              </w:rPr>
              <w:t xml:space="preserve">🟢  FAIBLE — Gêne mineure, solution rapide</w:t>
            </w:r>
          </w:p>
        </w:tc>
        <w:tc>
          <w:tcPr>
            <w:tcW w:type="dxa" w:w="3082"/>
            <w:tcBorders>
              <w:top w:val="single" w:color="FFDDAA" w:sz="1"/>
              <w:left w:val="single" w:color="FFDDAA" w:sz="1"/>
              <w:bottom w:val="single" w:color="FFDDAA" w:sz="1"/>
              <w:right w:val="single" w:color="FFDDAA" w:sz="1"/>
            </w:tcBorders>
            <w:shd w:fill="FEF3D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E8A020"/>
                <w:sz w:val="19"/>
                <w:szCs w:val="19"/>
              </w:rPr>
              <w:t xml:space="preserve">🟡  MOYEN — Impact partiel sur l'usage</w:t>
            </w:r>
          </w:p>
        </w:tc>
        <w:tc>
          <w:tcPr>
            <w:tcW w:type="dxa" w:w="3582"/>
            <w:tcBorders>
              <w:top w:val="single" w:color="FFAAAA" w:sz="1"/>
              <w:left w:val="single" w:color="FFAAAA" w:sz="1"/>
              <w:bottom w:val="single" w:color="FFAAAA" w:sz="1"/>
              <w:right w:val="single" w:color="FFAAAA" w:sz="1"/>
            </w:tcBorders>
            <w:shd w:fill="FEE8E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0392B"/>
                <w:sz w:val="19"/>
                <w:szCs w:val="19"/>
              </w:rPr>
              <w:t xml:space="preserve">🔴  ELEVÉ — Système partiellement ou totalement arrêté</w:t>
            </w:r>
          </w:p>
        </w:tc>
      </w:tr>
    </w:tbl>
    <w:p>
      <w:pPr>
        <w:spacing w:after="60" w:before="140"/>
      </w:pPr>
      <w: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thick" w:color="0D7D6B" w:sz="12"/>
              <w:left w:val="thick" w:color="0D7D6B" w:sz="24"/>
              <w:bottom w:val="single" w:color="0D7D6B" w:sz="4"/>
              <w:right w:val="single" w:color="0D7D6B" w:sz="4"/>
            </w:tcBorders>
            <w:shd w:fill="D5F0EC" w:val="clear"/>
            <w:tcMar>
              <w:top w:type="dxa" w:w="120"/>
              <w:left w:type="dxa" w:w="200"/>
              <w:bottom w:type="dxa" w:w="6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color w:val="0D7D6B"/>
                <w:sz w:val="24"/>
                <w:szCs w:val="24"/>
              </w:rPr>
              <w:t xml:space="preserve">P1  </w:t>
            </w:r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🟢  FAIBLE  </w:t>
            </w:r>
            <w:r>
              <w:rPr>
                <w:rFonts w:ascii="Arial" w:cs="Arial" w:eastAsia="Arial" w:hAnsi="Arial"/>
                <w:b/>
                <w:bCs/>
                <w:color w:val="1B3F6E"/>
                <w:sz w:val="24"/>
                <w:szCs w:val="24"/>
              </w:rPr>
              <w:t xml:space="preserve">  Les réponses sont vagues ou trop génériques</w:t>
            </w:r>
          </w:p>
        </w:tc>
      </w:tr>
      <w:tr>
        <w:tc>
          <w:tcPr>
            <w:tcW w:type="dxa" w:w="9746"/>
            <w:tcBorders>
              <w:top w:val="none"/>
              <w:left w:val="thick" w:color="0D7D6B" w:sz="24"/>
              <w:bottom w:val="none"/>
              <w:right w:val="single" w:color="DDDDDD" w:sz="4"/>
            </w:tcBorders>
            <w:shd w:fill="F4F4F4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Symptômes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La réponse est correcte mais manque de détails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L'IA répond de façon générale sans citer de source TransferAI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La réponse ressemble à une réponse ChatGPT standard</w:t>
            </w:r>
          </w:p>
          <w:p>
            <w:pPr>
              <w:spacing w:after="20" w:before="40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Causes probables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La question est trop vague (voir § 3.3)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Le document contenant la réponse n'est pas encore indexé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Le chunk pertinent est trop dilué dans la base</w:t>
            </w:r>
          </w:p>
          <w:p>
            <w:pPr>
              <w:spacing w:after="20" w:before="40"/>
            </w:pPr>
            <w:r>
              <w:rPr>
                <w:rFonts w:ascii="Arial" w:cs="Arial" w:eastAsia="Arial" w:hAnsi="Arial"/>
                <w:b/>
                <w:bCs/>
                <w:color w:val="0D7D6B"/>
                <w:sz w:val="20"/>
                <w:szCs w:val="20"/>
              </w:rPr>
              <w:t xml:space="preserve">Actions correctives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color w:val="1B3F6E"/>
                <w:sz w:val="20"/>
                <w:szCs w:val="20"/>
              </w:rPr>
              <w:t xml:space="preserve">Reformulez avec des mots-clés précis issus des titres de vos documents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color w:val="1B3F6E"/>
                <w:sz w:val="20"/>
                <w:szCs w:val="20"/>
              </w:rPr>
              <w:t xml:space="preserve">Ajoutez le contexte : secteur, client, date, document spécifique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color w:val="1B3F6E"/>
                <w:sz w:val="20"/>
                <w:szCs w:val="20"/>
              </w:rPr>
              <w:t xml:space="preserve">Vérifiez que le document est bien dans le Drive (dossiers 01 à 07)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color w:val="1B3F6E"/>
                <w:sz w:val="20"/>
                <w:szCs w:val="20"/>
              </w:rPr>
              <w:t xml:space="preserve">Si le doc est nouveau : attendez le prochain cycle d'ingestion (toutes les 6h) ou forcez manuellement</w:t>
            </w:r>
          </w:p>
        </w:tc>
      </w:tr>
    </w:tbl>
    <w:p>
      <w:pPr>
        <w:spacing w:after="40" w:before="80"/>
      </w:pPr>
      <w: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thick" w:color="0D7D6B" w:sz="12"/>
              <w:left w:val="thick" w:color="0D7D6B" w:sz="24"/>
              <w:bottom w:val="single" w:color="0D7D6B" w:sz="4"/>
              <w:right w:val="single" w:color="0D7D6B" w:sz="4"/>
            </w:tcBorders>
            <w:shd w:fill="D5F0EC" w:val="clear"/>
            <w:tcMar>
              <w:top w:type="dxa" w:w="120"/>
              <w:left w:type="dxa" w:w="200"/>
              <w:bottom w:type="dxa" w:w="6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color w:val="0D7D6B"/>
                <w:sz w:val="24"/>
                <w:szCs w:val="24"/>
              </w:rPr>
              <w:t xml:space="preserve">P2  </w:t>
            </w:r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🟢  FAIBLE  </w:t>
            </w:r>
            <w:r>
              <w:rPr>
                <w:rFonts w:ascii="Arial" w:cs="Arial" w:eastAsia="Arial" w:hAnsi="Arial"/>
                <w:b/>
                <w:bCs/>
                <w:color w:val="1B3F6E"/>
                <w:sz w:val="24"/>
                <w:szCs w:val="24"/>
              </w:rPr>
              <w:t xml:space="preserve">  La réponse prend plus de 15 secondes</w:t>
            </w:r>
          </w:p>
        </w:tc>
      </w:tr>
      <w:tr>
        <w:tc>
          <w:tcPr>
            <w:tcW w:type="dxa" w:w="9746"/>
            <w:tcBorders>
              <w:top w:val="none"/>
              <w:left w:val="thick" w:color="0D7D6B" w:sz="24"/>
              <w:bottom w:val="none"/>
              <w:right w:val="single" w:color="DDDDDD" w:sz="4"/>
            </w:tcBorders>
            <w:shd w:fill="F4F4F4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Symptômes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Attente anormalement longue avant la réponse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Timeout côté Chatwoot</w:t>
            </w:r>
          </w:p>
          <w:p>
            <w:pPr>
              <w:spacing w:after="20" w:before="40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Causes probables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Surcharge momentanée de l'API OpenAI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Latence réseau entre le serveur n8n et Supabase</w:t>
            </w:r>
          </w:p>
          <w:p>
            <w:pPr>
              <w:spacing w:after="20" w:before="40"/>
            </w:pPr>
            <w:r>
              <w:rPr>
                <w:rFonts w:ascii="Arial" w:cs="Arial" w:eastAsia="Arial" w:hAnsi="Arial"/>
                <w:b/>
                <w:bCs/>
                <w:color w:val="0D7D6B"/>
                <w:sz w:val="20"/>
                <w:szCs w:val="20"/>
              </w:rPr>
              <w:t xml:space="preserve">Actions correctives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color w:val="1B3F6E"/>
                <w:sz w:val="20"/>
                <w:szCs w:val="20"/>
              </w:rPr>
              <w:t xml:space="preserve">Réessayez la même question — la plupart du temps ça passe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color w:val="1B3F6E"/>
                <w:sz w:val="20"/>
                <w:szCs w:val="20"/>
              </w:rPr>
              <w:t xml:space="preserve">Si le problème persiste &gt; 3 essais : vérifiez le statut OpenAI sur status.openai.com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color w:val="1B3F6E"/>
                <w:sz w:val="20"/>
                <w:szCs w:val="20"/>
              </w:rPr>
              <w:t xml:space="preserve">Vérifiez que le workflow RAG est bien en mode Published dans n8n</w:t>
            </w:r>
          </w:p>
        </w:tc>
      </w:tr>
    </w:tbl>
    <w:p>
      <w:pPr>
        <w:spacing w:after="40" w:before="80"/>
      </w:pPr>
      <w: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thick" w:color="E8A020" w:sz="12"/>
              <w:left w:val="thick" w:color="E8A020" w:sz="24"/>
              <w:bottom w:val="single" w:color="E8A020" w:sz="4"/>
              <w:right w:val="single" w:color="E8A020" w:sz="4"/>
            </w:tcBorders>
            <w:shd w:fill="FEF3DC" w:val="clear"/>
            <w:tcMar>
              <w:top w:type="dxa" w:w="120"/>
              <w:left w:type="dxa" w:w="200"/>
              <w:bottom w:type="dxa" w:w="6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color w:val="E8A020"/>
                <w:sz w:val="24"/>
                <w:szCs w:val="24"/>
              </w:rPr>
              <w:t xml:space="preserve">P3  </w:t>
            </w:r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🟡  MOYEN  </w:t>
            </w:r>
            <w:r>
              <w:rPr>
                <w:rFonts w:ascii="Arial" w:cs="Arial" w:eastAsia="Arial" w:hAnsi="Arial"/>
                <w:b/>
                <w:bCs/>
                <w:color w:val="1B3F6E"/>
                <w:sz w:val="24"/>
                <w:szCs w:val="24"/>
              </w:rPr>
              <w:t xml:space="preserve">  Aucune source n'est citée dans la réponse</w:t>
            </w:r>
          </w:p>
        </w:tc>
      </w:tr>
      <w:tr>
        <w:tc>
          <w:tcPr>
            <w:tcW w:type="dxa" w:w="9746"/>
            <w:tcBorders>
              <w:top w:val="none"/>
              <w:left w:val="thick" w:color="E8A020" w:sz="24"/>
              <w:bottom w:val="none"/>
              <w:right w:val="single" w:color="DDDDDD" w:sz="4"/>
            </w:tcBorders>
            <w:shd w:fill="F4F4F4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Symptômes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La réponse ne mentionne aucun document source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Absence de références dans la section 'Sources utilisées'</w:t>
            </w:r>
          </w:p>
          <w:p>
            <w:pPr>
              <w:spacing w:after="20" w:before="40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Causes probables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La base de données documents est vide ou trop récente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La similarité vectorielle est inférieure au seuil (0.5 est la valeur validée en production depuis le 09/07/2026 sur les 3 workflows RAG et l’interface web, après backfill des embeddings manquants ; un seuil comme 0.7 exclut parfois de bonnes réponses, un seuil comme 0.2 laisse passer trop de bruit)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Le node 'Recherche Supabase Vector' a échoué silencieusement</w:t>
            </w:r>
          </w:p>
          <w:p>
            <w:pPr>
              <w:spacing w:after="20" w:before="40"/>
            </w:pPr>
            <w:r>
              <w:rPr>
                <w:rFonts w:ascii="Arial" w:cs="Arial" w:eastAsia="Arial" w:hAnsi="Arial"/>
                <w:b/>
                <w:bCs/>
                <w:color w:val="E8A020"/>
                <w:sz w:val="20"/>
                <w:szCs w:val="20"/>
              </w:rPr>
              <w:t xml:space="preserve">Actions correctives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color w:val="1B3F6E"/>
                <w:sz w:val="20"/>
                <w:szCs w:val="20"/>
              </w:rPr>
              <w:t xml:space="preserve">Vérifiez le compte Supabase : table 'documents' doit avoir &gt; 0 lignes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color w:val="1B3F6E"/>
                <w:sz w:val="20"/>
                <w:szCs w:val="20"/>
              </w:rPr>
              <w:t xml:space="preserve">Réduisez le seuil de similarité à 0.5 (valeur validée en production le 09/07/2026) dans le node Recherche Supabase Vector — champ match_threshold du corps JSON envoyé à match_documents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color w:val="1B3F6E"/>
                <w:sz w:val="20"/>
                <w:szCs w:val="20"/>
              </w:rPr>
              <w:t xml:space="preserve">Relancez manuellement le workflow d'ingestion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color w:val="1B3F6E"/>
                <w:sz w:val="20"/>
                <w:szCs w:val="20"/>
              </w:rPr>
              <w:t xml:space="preserve">Testez avec une question très précise reprenant un titre exact de document</w:t>
            </w:r>
          </w:p>
        </w:tc>
      </w:tr>
    </w:tbl>
    <w:p>
      <w:pPr>
        <w:spacing w:after="40" w:before="80"/>
      </w:pPr>
      <w: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thick" w:color="E8A020" w:sz="12"/>
              <w:left w:val="thick" w:color="E8A020" w:sz="24"/>
              <w:bottom w:val="single" w:color="E8A020" w:sz="4"/>
              <w:right w:val="single" w:color="E8A020" w:sz="4"/>
            </w:tcBorders>
            <w:shd w:fill="FEF3DC" w:val="clear"/>
            <w:tcMar>
              <w:top w:type="dxa" w:w="120"/>
              <w:left w:type="dxa" w:w="200"/>
              <w:bottom w:type="dxa" w:w="6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color w:val="E8A020"/>
                <w:sz w:val="24"/>
                <w:szCs w:val="24"/>
              </w:rPr>
              <w:t xml:space="preserve">P4  </w:t>
            </w:r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🟡  MOYEN  </w:t>
            </w:r>
            <w:r>
              <w:rPr>
                <w:rFonts w:ascii="Arial" w:cs="Arial" w:eastAsia="Arial" w:hAnsi="Arial"/>
                <w:b/>
                <w:bCs/>
                <w:color w:val="1B3F6E"/>
                <w:sz w:val="24"/>
                <w:szCs w:val="24"/>
              </w:rPr>
              <w:t xml:space="preserve">  Erreur 'Authorization failed — Expected 3 parts in JWT'</w:t>
            </w:r>
          </w:p>
        </w:tc>
      </w:tr>
      <w:tr>
        <w:tc>
          <w:tcPr>
            <w:tcW w:type="dxa" w:w="9746"/>
            <w:tcBorders>
              <w:top w:val="none"/>
              <w:left w:val="thick" w:color="E8A020" w:sz="24"/>
              <w:bottom w:val="none"/>
              <w:right w:val="single" w:color="DDDDDD" w:sz="4"/>
            </w:tcBorders>
            <w:shd w:fill="F4F4F4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Symptômes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Le workflow RAG échoue sur le node 'Recherche Supabase Vector'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Message d'erreur contenant 'JWT' ou 'Authorization failed'</w:t>
            </w:r>
          </w:p>
          <w:p>
            <w:pPr>
              <w:spacing w:after="20" w:before="40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Causes probables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Conflit entre la credential stockée dans n8n et les headers explicites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La credential 'Header Auth' injecte un token qui écrase les headers Supabase</w:t>
            </w:r>
          </w:p>
          <w:p>
            <w:pPr>
              <w:spacing w:after="20" w:before="40"/>
            </w:pPr>
            <w:r>
              <w:rPr>
                <w:rFonts w:ascii="Arial" w:cs="Arial" w:eastAsia="Arial" w:hAnsi="Arial"/>
                <w:b/>
                <w:bCs/>
                <w:color w:val="E8A020"/>
                <w:sz w:val="20"/>
                <w:szCs w:val="20"/>
              </w:rPr>
              <w:t xml:space="preserve">Actions correctives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color w:val="1B3F6E"/>
                <w:sz w:val="20"/>
                <w:szCs w:val="20"/>
              </w:rPr>
              <w:t xml:space="preserve">Ouvrez le node HTTP Request incriminé dans n8n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color w:val="1B3F6E"/>
                <w:sz w:val="20"/>
                <w:szCs w:val="20"/>
              </w:rPr>
              <w:t xml:space="preserve">Vérifiez que la section 'Authentication' est vide (None) — pas de credential sélectionnée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color w:val="1B3F6E"/>
                <w:sz w:val="20"/>
                <w:szCs w:val="20"/>
              </w:rPr>
              <w:t xml:space="preserve">Assurez-vous que les headers apikey et Authorization sont en mode 'Explicit Headers'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color w:val="1B3F6E"/>
                <w:sz w:val="20"/>
                <w:szCs w:val="20"/>
              </w:rPr>
              <w:t xml:space="preserve">Ré-importez le fichier RAG_fixed.json si le problème persiste</w:t>
            </w:r>
          </w:p>
        </w:tc>
      </w:tr>
    </w:tbl>
    <w:p>
      <w:pPr>
        <w:spacing w:after="40" w:before="80"/>
      </w:pPr>
      <w: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thick" w:color="C0392B" w:sz="12"/>
              <w:left w:val="thick" w:color="C0392B" w:sz="24"/>
              <w:bottom w:val="single" w:color="C0392B" w:sz="4"/>
              <w:right w:val="single" w:color="C0392B" w:sz="4"/>
            </w:tcBorders>
            <w:shd w:fill="FEE8E8" w:val="clear"/>
            <w:tcMar>
              <w:top w:type="dxa" w:w="120"/>
              <w:left w:type="dxa" w:w="200"/>
              <w:bottom w:type="dxa" w:w="6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color w:val="C0392B"/>
                <w:sz w:val="24"/>
                <w:szCs w:val="24"/>
              </w:rPr>
              <w:t xml:space="preserve">P5  </w:t>
            </w:r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🔴  ELEVÉ  </w:t>
            </w:r>
            <w:r>
              <w:rPr>
                <w:rFonts w:ascii="Arial" w:cs="Arial" w:eastAsia="Arial" w:hAnsi="Arial"/>
                <w:b/>
                <w:bCs/>
                <w:color w:val="1B3F6E"/>
                <w:sz w:val="24"/>
                <w:szCs w:val="24"/>
              </w:rPr>
              <w:t xml:space="preserve">  Le workflow d'ingestion ne remplit pas Supabase</w:t>
            </w:r>
          </w:p>
        </w:tc>
      </w:tr>
      <w:tr>
        <w:tc>
          <w:tcPr>
            <w:tcW w:type="dxa" w:w="9746"/>
            <w:tcBorders>
              <w:top w:val="none"/>
              <w:left w:val="thick" w:color="C0392B" w:sz="24"/>
              <w:bottom w:val="none"/>
              <w:right w:val="single" w:color="DDDDDD" w:sz="4"/>
            </w:tcBorders>
            <w:shd w:fill="F4F4F4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Symptômes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L'ingestion se termine en 'Succeeded' mais la table documents reste vide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0 résultats dans la base après plusieurs exécutions</w:t>
            </w:r>
          </w:p>
          <w:p>
            <w:pPr>
              <w:spacing w:after="20" w:before="40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Causes probables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Mise à jour 08/07/2026 — correction de cette fiche : le champ specifyBody doit valoir exactement “json” (pas “string”, ni “=json” avec un signe = en trop qui a été la cause réelle observée en production) ; le vrai bug est que jsonBody, qui contient le corps réel, est alors ignoré et un corps vide part vers Supabase, sans faire échouer l’exécution n8n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La contrainte UNIQUE (source_id, chunk_index) manque sur la table documents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Le node 'Découper en chunks' retourne 0 items (fichiers binaires non lisibles)</w:t>
            </w:r>
          </w:p>
          <w:p>
            <w:pPr>
              <w:spacing w:after="20" w:before="40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Actions correctives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color w:val="1B3F6E"/>
                <w:sz w:val="20"/>
                <w:szCs w:val="20"/>
              </w:rPr>
              <w:t xml:space="preserve">Supabase SQL Editor : vérifier que la table 'documents' existe avec la colonne 'embedding vector(1536)'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color w:val="1B3F6E"/>
                <w:sz w:val="20"/>
                <w:szCs w:val="20"/>
              </w:rPr>
              <w:t xml:space="preserve">Vérifier la contrainte : ALTER TABLE documents ADD CONSTRAINT ... UNIQUE (source_id, chunk_index)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color w:val="1B3F6E"/>
                <w:sz w:val="20"/>
                <w:szCs w:val="20"/>
              </w:rPr>
              <w:t xml:space="preserve">Dans n8n : ouvrir le node HTTP Request concerné et confirmer que specifyBody = “json” (exactement, sans espace ni signe = supplémentaire) ET que jsonBody contient bien le corps attendu — ne jamais se fier au seul statut “Succeeded” de l’exécution pour juger qu’un appel envoie réellement ses données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color w:val="1B3F6E"/>
                <w:sz w:val="20"/>
                <w:szCs w:val="20"/>
              </w:rPr>
              <w:t xml:space="preserve">Vérifier que les fichiers .txt sont présents dans les dossiers Drive (pas seulement les DOCX)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color w:val="1B3F6E"/>
                <w:sz w:val="20"/>
                <w:szCs w:val="20"/>
              </w:rPr>
              <w:t xml:space="preserve">Test manuel : curl -X POST .../rest/v1/documents avec un vecteur de test</w:t>
            </w:r>
          </w:p>
        </w:tc>
      </w:tr>
    </w:tbl>
    <w:p>
      <w:pPr>
        <w:spacing w:after="40" w:before="80"/>
      </w:pPr>
      <w: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thick" w:color="C0392B" w:sz="12"/>
              <w:left w:val="thick" w:color="C0392B" w:sz="24"/>
              <w:bottom w:val="single" w:color="C0392B" w:sz="4"/>
              <w:right w:val="single" w:color="C0392B" w:sz="4"/>
            </w:tcBorders>
            <w:shd w:fill="FEE8E8" w:val="clear"/>
            <w:tcMar>
              <w:top w:type="dxa" w:w="120"/>
              <w:left w:type="dxa" w:w="200"/>
              <w:bottom w:type="dxa" w:w="6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color w:val="C0392B"/>
                <w:sz w:val="24"/>
                <w:szCs w:val="24"/>
              </w:rPr>
              <w:t xml:space="preserve">P6  </w:t>
            </w:r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🔴  ELEVÉ  </w:t>
            </w:r>
            <w:r>
              <w:rPr>
                <w:rFonts w:ascii="Arial" w:cs="Arial" w:eastAsia="Arial" w:hAnsi="Arial"/>
                <w:b/>
                <w:bCs/>
                <w:color w:val="1B3F6E"/>
                <w:sz w:val="24"/>
                <w:szCs w:val="24"/>
              </w:rPr>
              <w:t xml:space="preserve">  Google Drive — 'Cannot read properties of undefined (reading execute)'</w:t>
            </w:r>
          </w:p>
        </w:tc>
      </w:tr>
      <w:tr>
        <w:tc>
          <w:tcPr>
            <w:tcW w:type="dxa" w:w="9746"/>
            <w:tcBorders>
              <w:top w:val="none"/>
              <w:left w:val="thick" w:color="C0392B" w:sz="24"/>
              <w:bottom w:val="none"/>
              <w:right w:val="single" w:color="DDDDDD" w:sz="4"/>
            </w:tcBorders>
            <w:shd w:fill="F4F4F4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Symptômes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Erreur immédiate sur le node Drive dans le workflow d'ingestion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L'opération 'list' n'est pas reconnue</w:t>
            </w:r>
          </w:p>
          <w:p>
            <w:pPr>
              <w:spacing w:after="20" w:before="40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Causes probables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Le node Google Drive v3 ne supporte PAS l'opération 'list' pour les fichiers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Incompatibilité entre la version du node et l'API attendue</w:t>
            </w:r>
          </w:p>
          <w:p>
            <w:pPr>
              <w:spacing w:after="20" w:before="40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Actions correctives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color w:val="1B3F6E"/>
                <w:sz w:val="20"/>
                <w:szCs w:val="20"/>
              </w:rPr>
              <w:t xml:space="preserve">Remplacer le node Drive 'list' par un HTTP Request vers l'API Google Drive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color w:val="1B3F6E"/>
                <w:sz w:val="20"/>
                <w:szCs w:val="20"/>
              </w:rPr>
              <w:t xml:space="preserve">URL : GET https://www.googleapis.com/drive/v3/files?q='{id}'+in+parents+...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color w:val="1B3F6E"/>
                <w:sz w:val="20"/>
                <w:szCs w:val="20"/>
              </w:rPr>
              <w:t xml:space="preserve">Authentication : Predefined Credential Type → Google Drive OAuth2 API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color w:val="1B3F6E"/>
                <w:sz w:val="20"/>
                <w:szCs w:val="20"/>
              </w:rPr>
              <w:t xml:space="preserve">Ajouter un node Code 'Aplatir liste fichiers' après pour extraire files[]</w:t>
            </w:r>
          </w:p>
        </w:tc>
      </w:tr>
    </w:tbl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thick" w:color="C0392B" w:sz="12"/>
              <w:left w:val="thick" w:color="C0392B" w:sz="24"/>
              <w:bottom w:val="single" w:color="C0392B" w:sz="4"/>
              <w:right w:val="single" w:color="C0392B" w:sz="4"/>
            </w:tcBorders>
            <w:shd w:fill="FEE8E8" w:val="clear"/>
            <w:tcMar>
              <w:top w:type="dxa" w:w="120"/>
              <w:left w:type="dxa" w:w="200"/>
              <w:bottom w:type="dxa" w:w="6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color w:val="C0392B"/>
                <w:sz w:val="24"/>
                <w:szCs w:val="24"/>
              </w:rPr>
              <w:t xml:space="preserve">P7  </w:t>
            </w:r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🔴  ELEVÉ — Système partiellement ou totalement arrêté  </w:t>
            </w:r>
            <w:r>
              <w:rPr>
                <w:rFonts w:ascii="Arial" w:cs="Arial" w:eastAsia="Arial" w:hAnsi="Arial"/>
                <w:b/>
                <w:bCs/>
                <w:color w:val="1B3F6E"/>
                <w:sz w:val="24"/>
                <w:szCs w:val="24"/>
              </w:rPr>
              <w:t xml:space="preserve">  Le workflow affiche “Succeeded” mais la recherche vectorielle n’a jamais eu lieu (corps de requête vide)</w:t>
            </w:r>
          </w:p>
        </w:tc>
      </w:tr>
      <w:tr>
        <w:tc>
          <w:tcPr>
            <w:tcW w:type="dxa" w:w="9746"/>
            <w:tcBorders>
              <w:top w:val="none"/>
              <w:left w:val="thick" w:color="C0392B" w:sz="24"/>
              <w:bottom w:val="none"/>
              <w:right w:val="single" w:color="DDDDDD" w:sz="4"/>
            </w:tcBorders>
            <w:shd w:fill="F4F4F4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Symptômes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Aucune erreur visible dans n’importe quel onglet Executions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Les réponses ne citent jamais aucune source, même sur des questions dont on sait que la documentation existe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Le node “Recherche Supabase Vector” produit un item vide ({}) au lieu des documents attendus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Causes probables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Le champ specifyBody vaut “=json” (avec un = en trop) au lieu de “json” — ce n’est pas un champ expression, une bascule d’interface entre les modes “Using Fields Below” et “Using JSON” peut corrompre sa valeur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Le vrai corps de requête, stocké dans jsonBody, est alors ignoré et un corps vide part vers l’API Supabase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Actions correctives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Ouvrir chaque node HTTP Request du workflow et vérifier parameters.specifyBody === “json” exactement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Vérifier aussi que jsonBody contient bien le corps attendu (l’embedding, le seuil, le nombre de résultats)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Ne jamais se fier au statut “Succeeded” seul — toujours ouvrir le panneau OUTPUT du node et compter les items réellement produits</w:t>
            </w:r>
          </w:p>
        </w:tc>
      </w:tr>
    </w:tbl>
    <w:p>
      <w:pPr>
        <w:spacing w:after="40" w:before="80"/>
      </w:pPr>
      <w:r>
        <w:t xml:space="preserve"/>
      </w:r>
    </w:p>
    <w:p>
      <w:pPr>
        <w:spacing w:after="80" w:before="140"/>
      </w:pPr>
      <w: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thick" w:color="C0392B" w:sz="12"/>
              <w:left w:val="thick" w:color="C0392B" w:sz="24"/>
              <w:bottom w:val="single" w:color="C0392B" w:sz="4"/>
              <w:right w:val="single" w:color="C0392B" w:sz="4"/>
            </w:tcBorders>
            <w:shd w:fill="FEE8E8" w:val="clear"/>
            <w:tcMar>
              <w:top w:type="dxa" w:w="120"/>
              <w:left w:type="dxa" w:w="200"/>
              <w:bottom w:type="dxa" w:w="6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color w:val="C0392B"/>
                <w:sz w:val="24"/>
                <w:szCs w:val="24"/>
              </w:rPr>
              <w:t xml:space="preserve">P8  </w:t>
            </w:r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🔴  ELEVÉ — Système partiellement ou totalement arrêté  </w:t>
            </w:r>
            <w:r>
              <w:rPr>
                <w:rFonts w:ascii="Arial" w:cs="Arial" w:eastAsia="Arial" w:hAnsi="Arial"/>
                <w:b/>
                <w:bCs/>
                <w:color w:val="1B3F6E"/>
                <w:sz w:val="24"/>
                <w:szCs w:val="24"/>
              </w:rPr>
              <w:t xml:space="preserve">  Une question hors-sujet obtient une vraie réponse au lieu d’escalader vers un conseiller humain</w:t>
            </w:r>
          </w:p>
        </w:tc>
      </w:tr>
      <w:tr>
        <w:tc>
          <w:tcPr>
            <w:tcW w:type="dxa" w:w="9746"/>
            <w:tcBorders>
              <w:top w:val="none"/>
              <w:left w:val="thick" w:color="C0392B" w:sz="24"/>
              <w:bottom w:val="none"/>
              <w:right w:val="single" w:color="DDDDDD" w:sz="4"/>
            </w:tcBorders>
            <w:shd w:fill="F4F4F4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Symptômes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L’IA répond librement, hors du périmètre documentaire, sans jamais déclencher l’escalade Chatwoot prévue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La réponse cite “1 source” avec un titre générique (“Document”) et une similarité de 0%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Causes probables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n8n renvoie un item vide ({}) — et non 0 item — quand la recherche vectorielle ne trouve réellement aucun document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Le code qui compte les sources trouvées ne filtrait pas cet item vide, donc le nombre de sources était toujours ≥ 1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Actions correctives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Dans le node qui construit le contexte RAG, filtrer les résultats sur la présence d’un vrai titre ou contenu avant de compter les sources : ne garder que les items où titre ou contenu existe réellement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Retester avec une question volontairement hors-sujet pour confirmer que l’escalade se déclenche bien</w:t>
            </w:r>
          </w:p>
        </w:tc>
      </w:tr>
    </w:tbl>
    <w:p>
      <w:pPr>
        <w:spacing w:after="40" w:before="80"/>
      </w:pPr>
      <w:r>
        <w:t xml:space="preserve"/>
      </w:r>
    </w:p>
    <w:p>
      <w:pPr>
        <w:spacing w:after="80" w:before="140"/>
      </w:pPr>
      <w: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thick" w:color="E8A020" w:sz="12"/>
              <w:left w:val="thick" w:color="E8A020" w:sz="24"/>
              <w:bottom w:val="single" w:color="E8A020" w:sz="4"/>
              <w:right w:val="single" w:color="E8A020" w:sz="4"/>
            </w:tcBorders>
            <w:shd w:fill="FEF3DC" w:val="clear"/>
            <w:tcMar>
              <w:top w:type="dxa" w:w="120"/>
              <w:left w:type="dxa" w:w="200"/>
              <w:bottom w:type="dxa" w:w="6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color w:val="E8A020"/>
                <w:sz w:val="24"/>
                <w:szCs w:val="24"/>
              </w:rPr>
              <w:t xml:space="preserve">P9  </w:t>
            </w:r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🟡  MOYEN — Impact partiel sur l'usage  </w:t>
            </w:r>
            <w:r>
              <w:rPr>
                <w:rFonts w:ascii="Arial" w:cs="Arial" w:eastAsia="Arial" w:hAnsi="Arial"/>
                <w:b/>
                <w:bCs/>
                <w:color w:val="1B3F6E"/>
                <w:sz w:val="24"/>
                <w:szCs w:val="24"/>
              </w:rPr>
              <w:t xml:space="preserve">  L’escalade vers un conseiller humain échoue silencieusement (aucune notification Chatwoot créée)</w:t>
            </w:r>
          </w:p>
        </w:tc>
      </w:tr>
      <w:tr>
        <w:tc>
          <w:tcPr>
            <w:tcW w:type="dxa" w:w="9746"/>
            <w:tcBorders>
              <w:top w:val="none"/>
              <w:left w:val="thick" w:color="E8A020" w:sz="24"/>
              <w:bottom w:val="none"/>
              <w:right w:val="single" w:color="DDDDDD" w:sz="4"/>
            </w:tcBorders>
            <w:shd w:fill="F4F4F4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Symptômes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Le prospect reçoit bien le message “un conseiller va vous recontacter”, mais aucune conversation n’apparaît réellement dans Chatwoot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Aucun agent n’est notifié d’une question sans réponse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Causes probables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Le token API Chatwoot codé en dur dans les nodes d’escalade est expiré ou a été invalidé par la régénération d’un token sur un autre workflow du même compte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Les champs inbox_id et contact_id utilisés pour créer la conversation contiennent des valeurs factices (1) au lieu des vrais identifiants du compte Chatwoot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Actions correctives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Régénérer un token Chatwoot valide (Profil → Access Token) et le reporter sur tous les nodes concernés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Vérifier les vrais inbox_id via GET /api/v1/accounts/{account_id}/inboxes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Créer ou identifier un contact dédié aux escalades système plutôt que d’utiliser contact_id: 1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Ajouter onError: continueRegularOutput sur ces nodes pour que le webhook réponde toujours à l’appelant même si la notification interne échoue</w:t>
            </w:r>
          </w:p>
        </w:tc>
      </w:tr>
    </w:tbl>
    <w:p>
      <w:pPr>
        <w:spacing w:after="40" w:before="80"/>
      </w:pPr>
      <w:r>
        <w:t xml:space="preserve"/>
      </w:r>
    </w:p>
    <w:p>
      <w:pPr>
        <w:spacing w:after="80" w:before="140"/>
      </w:pPr>
      <w: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thick" w:color="C0392B" w:sz="12"/>
              <w:left w:val="thick" w:color="C0392B" w:sz="24"/>
              <w:bottom w:val="single" w:color="C0392B" w:sz="4"/>
              <w:right w:val="single" w:color="C0392B" w:sz="4"/>
            </w:tcBorders>
            <w:shd w:fill="FEE8E8" w:val="clear"/>
            <w:tcMar>
              <w:top w:type="dxa" w:w="120"/>
              <w:left w:type="dxa" w:w="200"/>
              <w:bottom w:type="dxa" w:w="6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color w:val="C0392B"/>
                <w:sz w:val="24"/>
                <w:szCs w:val="24"/>
              </w:rPr>
              <w:t xml:space="preserve">P10  </w:t>
            </w:r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🔴  ELEVÉ — Système partiellement ou totalement arrêté  </w:t>
            </w:r>
            <w:r>
              <w:rPr>
                <w:rFonts w:ascii="Arial" w:cs="Arial" w:eastAsia="Arial" w:hAnsi="Arial"/>
                <w:b/>
                <w:bCs/>
                <w:color w:val="1B3F6E"/>
                <w:sz w:val="24"/>
                <w:szCs w:val="24"/>
              </w:rPr>
              <w:t xml:space="preserve">  Les réponses WhatsApp ne citent jamais aucune source RAG, malgré une recherche documentaire qui fonctionne correctement</w:t>
            </w:r>
          </w:p>
        </w:tc>
      </w:tr>
      <w:tr>
        <w:tc>
          <w:tcPr>
            <w:tcW w:type="dxa" w:w="9746"/>
            <w:tcBorders>
              <w:top w:val="none"/>
              <w:left w:val="thick" w:color="C0392B" w:sz="24"/>
              <w:bottom w:val="none"/>
              <w:right w:val="single" w:color="DDDDDD" w:sz="4"/>
            </w:tcBorders>
            <w:shd w:fill="F4F4F4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Symptômes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Le compteur interne de sources trouvées (rag_sources_count) reste à 0 dans 100% des conversations, même sur des questions dont la documentation existe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L’IA répond correctement mais jamais de façon spécifiquement ancrée dans les documents TransferAI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Causes probables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Le node qui construit le prompt envoyé à GPT ne lit que le premier résultat renvoyé par n8n via .first(), alors qu’une réponse contenant plusieurs documents est éclatée par n8n en autant d’items séparés — un seul document (ou aucun) était donc jamais lu, peu importe le nombre réel de résultats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Actions correctives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Remplacer la lecture par $(‘Nom du node de recherche’).all().map(item ⇒ item.json), puis filtrer les items sans titre ni contenu réel avant de les injecter dans le prompt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Valider hors-ligne en rejouant les données d’une exécution passée avant de déployer, plutôt que de tester en direct sur un canal client</w:t>
            </w:r>
          </w:p>
        </w:tc>
      </w:tr>
    </w:tbl>
    <w:p>
      <w:pPr>
        <w:spacing w:after="40" w:before="80"/>
      </w:pPr>
      <w:r>
        <w:t xml:space="preserve"/>
      </w:r>
    </w:p>
    <w:p>
      <w:pPr>
        <w:spacing w:after="80" w:before="140"/>
      </w:pPr>
      <w: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thick" w:color="E8A020" w:sz="12"/>
              <w:left w:val="thick" w:color="E8A020" w:sz="24"/>
              <w:bottom w:val="single" w:color="E8A020" w:sz="4"/>
              <w:right w:val="single" w:color="E8A020" w:sz="4"/>
            </w:tcBorders>
            <w:shd w:fill="FEF3DC" w:val="clear"/>
            <w:tcMar>
              <w:top w:type="dxa" w:w="120"/>
              <w:left w:type="dxa" w:w="200"/>
              <w:bottom w:type="dxa" w:w="6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color w:val="E8A020"/>
                <w:sz w:val="24"/>
                <w:szCs w:val="24"/>
              </w:rPr>
              <w:t xml:space="preserve">P11  </w:t>
            </w:r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🟡  MOYEN — Impact partiel sur l'usage  </w:t>
            </w:r>
            <w:r>
              <w:rPr>
                <w:rFonts w:ascii="Arial" w:cs="Arial" w:eastAsia="Arial" w:hAnsi="Arial"/>
                <w:b/>
                <w:bCs/>
                <w:color w:val="1B3F6E"/>
                <w:sz w:val="24"/>
                <w:szCs w:val="24"/>
              </w:rPr>
              <w:t xml:space="preserve">  Un message généré par l’IA n’arrive jamais sur WhatsApp, malgré une exécution “Succeeded”</w:t>
            </w:r>
          </w:p>
        </w:tc>
      </w:tr>
      <w:tr>
        <w:tc>
          <w:tcPr>
            <w:tcW w:type="dxa" w:w="9746"/>
            <w:tcBorders>
              <w:top w:val="none"/>
              <w:left w:val="thick" w:color="E8A020" w:sz="24"/>
              <w:bottom w:val="none"/>
              <w:right w:val="single" w:color="DDDDDD" w:sz="4"/>
            </w:tcBorders>
            <w:shd w:fill="F4F4F4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Symptômes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Toutes les étapes du workflow s’exécutent sans erreur apparente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Le node d’envoi vers Chatwoot renvoie en réalité {"error": "Invalid Access Token"} dans sa sortie, invisible tant qu’on ne l’ouvre pas explicitement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Causes probables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Un compte Chatwoot n’a qu’un seul token d’accès agent actif à la fois : régénérer ce token pour corriger un autre workflow du même compte invalide silencieusement l’ancien token encore utilisé ailleurs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Les nodes concernés ont neverError activé dans leurs options, donc l’échec ne fait jamais planter l’exécution n8n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Actions correctives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Après toute régénération d’un token Chatwoot, mettre à jour TOUS les workflows connus du même compte, pas seulement celui qu’on est en train de corriger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Ouvrir systématiquement la sortie réelle des nodes vers Chatwoot (pas seulement le statut d’exécution) pour vérifier l’absence du champ error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Confirmer la livraison en envoyant un vrai message de test et en vérifiant sa réception sur le téléphone, pas seulement dans les logs n8n</w:t>
            </w:r>
          </w:p>
        </w:tc>
      </w:tr>
    </w:tbl>
    <w:p>
      <w:pPr>
        <w:spacing w:after="40" w:before="80"/>
      </w:pPr>
      <w:r>
        <w:t xml:space="preserve"/>
      </w:r>
    </w:p>
    <w:p>
      <w:pPr>
        <w:spacing w:after="80" w:before="140"/>
      </w:pPr>
      <w:r>
        <w:t xml:space="preserve"/>
      </w:r>
    </w:p>
    <w:p>
      <w:pPr>
        <w:spacing w:after="40" w:before="80"/>
      </w:pPr>
      <w:r>
        <w:t xml:space="preserve"/>
      </w:r>
    </w:p>
    <w:p>
      <w:pPr>
        <w:spacing w:after="80" w:before="14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1B3F6E"/>
          <w:sz w:val="26"/>
          <w:szCs w:val="26"/>
        </w:rPr>
        <w:t xml:space="preserve">4.7  Checklist de Vérification Quotidienne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Effectuez ces vérifications chaque matin pour garantir le bon fonctionnement du système RAG :</w:t>
      </w:r>
    </w:p>
    <w:p>
      <w:pPr>
        <w:spacing w:after="80" w:before="80"/>
      </w:pPr>
      <w: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5246"/>
        <w:gridCol w:w="2000"/>
        <w:gridCol w:w="2000"/>
      </w:tblGrid>
      <w:tr>
        <w:trPr>
          <w:tblHeader/>
        </w:trPr>
        <w:tc>
          <w:tcPr>
            <w:tcW w:type="dxa" w:w="5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F6E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5246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F6E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Vérification</w:t>
            </w:r>
          </w:p>
        </w:tc>
        <w:tc>
          <w:tcPr>
            <w:tcW w:type="dxa" w:w="20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F6E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Où vérifier</w:t>
            </w:r>
          </w:p>
        </w:tc>
        <w:tc>
          <w:tcPr>
            <w:tcW w:type="dxa" w:w="20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F6E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Fréquence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F6E"/>
                <w:sz w:val="28"/>
                <w:szCs w:val="28"/>
              </w:rPr>
              <w:t xml:space="preserve">☐</w:t>
            </w:r>
          </w:p>
        </w:tc>
        <w:tc>
          <w:tcPr>
            <w:tcW w:type="dxa" w:w="524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Table 'documents' contient des enregistrements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Supabase → Table Editor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Quotidien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5F0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7D6B"/>
                <w:sz w:val="28"/>
                <w:szCs w:val="28"/>
              </w:rPr>
              <w:t xml:space="preserve">☐</w:t>
            </w:r>
          </w:p>
        </w:tc>
        <w:tc>
          <w:tcPr>
            <w:tcW w:type="dxa" w:w="524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5F0E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Workflow RAG est en mode 'Published'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n8n → Workflow list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Quotidien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F6E"/>
                <w:sz w:val="28"/>
                <w:szCs w:val="28"/>
              </w:rPr>
              <w:t xml:space="preserve">☐</w:t>
            </w:r>
          </w:p>
        </w:tc>
        <w:tc>
          <w:tcPr>
            <w:tcW w:type="dxa" w:w="524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Workflow Ingestion a tourné dans les dernières 6h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n8n → Executions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Quotidien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5F0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7D6B"/>
                <w:sz w:val="28"/>
                <w:szCs w:val="28"/>
              </w:rPr>
              <w:t xml:space="preserve">☐</w:t>
            </w:r>
          </w:p>
        </w:tc>
        <w:tc>
          <w:tcPr>
            <w:tcW w:type="dxa" w:w="524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5F0E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Clé API OpenAI est valide (non expirée)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platform.openai.com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Hebdomadaire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F6E"/>
                <w:sz w:val="28"/>
                <w:szCs w:val="28"/>
              </w:rPr>
              <w:t xml:space="preserve">☐</w:t>
            </w:r>
          </w:p>
        </w:tc>
        <w:tc>
          <w:tcPr>
            <w:tcW w:type="dxa" w:w="524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Credential Google Drive OAuth est actif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n8n → Credentials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Mensuel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5F0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7D6B"/>
                <w:sz w:val="28"/>
                <w:szCs w:val="28"/>
              </w:rPr>
              <w:t xml:space="preserve">☐</w:t>
            </w:r>
          </w:p>
        </w:tc>
        <w:tc>
          <w:tcPr>
            <w:tcW w:type="dxa" w:w="524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5F0E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Nouveaux documents ajoutés dans les sous-dossiers Drive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Google Drive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Au besoin</w:t>
            </w:r>
          </w:p>
        </w:tc>
      </w:tr>
    </w:tbl>
    <w:p>
      <w:pPr>
        <w:spacing w:after="80" w:before="200"/>
      </w:pPr>
      <w:r>
        <w:t xml:space="preserve"/>
      </w:r>
    </w:p>
    <w:p>
      <w:r>
        <w:br w:type="page"/>
      </w:r>
    </w:p>
    <w:p>
      <w:pPr>
        <w:pStyle w:val="Heading1"/>
        <w:spacing w:after="120" w:before="320"/>
      </w:pPr>
      <w:bookmarkStart w:name="part5" w:id="5"/>
      <w:r>
        <w:rPr>
          <w:rFonts w:ascii="Arial" w:cs="Arial" w:eastAsia="Arial" w:hAnsi="Arial"/>
          <w:b/>
          <w:bCs/>
          <w:color w:val="1B3F6E"/>
          <w:sz w:val="34"/>
          <w:szCs w:val="34"/>
        </w:rPr>
        <w:t xml:space="preserve">PARTIE 5 — Contacts &amp; Ressources</w:t>
      </w:r>
      <w:bookmarkEnd w:id="5"/>
    </w:p>
    <w:p>
      <w:pPr>
        <w:pBdr>
          <w:bottom w:val="single" w:color="1B3F6E" w:sz="10" w:space="1"/>
        </w:pBdr>
        <w:spacing w:after="60" w:before="6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1B3F6E"/>
          <w:sz w:val="26"/>
          <w:szCs w:val="26"/>
        </w:rPr>
        <w:t xml:space="preserve">5.1  Contacts Support</w:t>
      </w:r>
    </w:p>
    <w:p>
      <w:pPr>
        <w:spacing w:after="80" w:before="80"/>
      </w:pPr>
      <w: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746"/>
        <w:gridCol w:w="4000"/>
      </w:tblGrid>
      <w:tr>
        <w:trPr>
          <w:tblHeader/>
        </w:trPr>
        <w:tc>
          <w:tcPr>
            <w:tcW w:type="dxa" w:w="30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F6E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Rôle</w:t>
            </w:r>
          </w:p>
        </w:tc>
        <w:tc>
          <w:tcPr>
            <w:tcW w:type="dxa" w:w="2746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F6E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Contact</w:t>
            </w:r>
          </w:p>
        </w:tc>
        <w:tc>
          <w:tcPr>
            <w:tcW w:type="dxa" w:w="40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F6E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Pour quel problème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Administrateur Système</w:t>
            </w:r>
          </w:p>
        </w:tc>
        <w:tc>
          <w:tcPr>
            <w:tcW w:type="dxa" w:w="274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Équipe Technique TransferAI</w:t>
            </w:r>
          </w:p>
        </w:tc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Erreurs workflows n8n, Supabase, credentials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Support Formation</w:t>
            </w:r>
          </w:p>
        </w:tc>
        <w:tc>
          <w:tcPr>
            <w:tcW w:type="dxa" w:w="274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Formation IA — Juillet 2026</w:t>
            </w:r>
          </w:p>
        </w:tc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Questions sur le contenu du guide, cas d'usage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Manager des Opérations</w:t>
            </w:r>
          </w:p>
        </w:tc>
        <w:tc>
          <w:tcPr>
            <w:tcW w:type="dxa" w:w="274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contact@transferai.ci</w:t>
            </w:r>
          </w:p>
        </w:tc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Escalades, décisions stratégiques base documentaire</w:t>
            </w:r>
          </w:p>
        </w:tc>
      </w:tr>
    </w:tbl>
    <w:p>
      <w:pPr>
        <w:spacing w:after="80" w:before="14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1B3F6E"/>
          <w:sz w:val="26"/>
          <w:szCs w:val="26"/>
        </w:rPr>
        <w:t xml:space="preserve">5.2  Liens Utiles</w:t>
      </w:r>
    </w:p>
    <w:p>
      <w:pPr>
        <w:spacing w:after="80" w:before="80"/>
      </w:pPr>
      <w: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6246"/>
      </w:tblGrid>
      <w:tr>
        <w:trPr>
          <w:tblHeader/>
        </w:trPr>
        <w:tc>
          <w:tcPr>
            <w:tcW w:type="dxa" w:w="35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F6E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Ressource</w:t>
            </w:r>
          </w:p>
        </w:tc>
        <w:tc>
          <w:tcPr>
            <w:tcW w:type="dxa" w:w="6246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F6E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Accès</w:t>
            </w:r>
          </w:p>
        </w:tc>
      </w:tr>
      <w:tr>
        <w:tc>
          <w:tcPr>
            <w:tcW w:type="dxa" w:w="3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Interface n8n (workflows)</w:t>
            </w:r>
          </w:p>
        </w:tc>
        <w:tc>
          <w:tcPr>
            <w:tcW w:type="dxa" w:w="624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0D7D6B"/>
                <w:sz w:val="20"/>
                <w:szCs w:val="20"/>
              </w:rPr>
              <w:t xml:space="preserve">https://n8n-pxlk.srv1480638.hstgr.cloud</w:t>
            </w:r>
          </w:p>
        </w:tc>
      </w:tr>
      <w:tr>
        <w:tc>
          <w:tcPr>
            <w:tcW w:type="dxa" w:w="3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Base de données Supabase</w:t>
            </w:r>
          </w:p>
        </w:tc>
        <w:tc>
          <w:tcPr>
            <w:tcW w:type="dxa" w:w="624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0D7D6B"/>
                <w:sz w:val="20"/>
                <w:szCs w:val="20"/>
              </w:rPr>
              <w:t xml:space="preserve">https://wlhznciwuofueffyoflo.supabase.co</w:t>
            </w:r>
          </w:p>
        </w:tc>
      </w:tr>
      <w:tr>
        <w:tc>
          <w:tcPr>
            <w:tcW w:type="dxa" w:w="3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Chatwoot (interface client)</w:t>
            </w:r>
          </w:p>
        </w:tc>
        <w:tc>
          <w:tcPr>
            <w:tcW w:type="dxa" w:w="624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0D7D6B"/>
                <w:sz w:val="20"/>
                <w:szCs w:val="20"/>
              </w:rPr>
              <w:t xml:space="preserve">https://app.chatwoot.com — Compte 163278</w:t>
            </w:r>
          </w:p>
        </w:tc>
      </w:tr>
      <w:tr>
        <w:tc>
          <w:tcPr>
            <w:tcW w:type="dxa" w:w="3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Google Drive — Base documentaire</w:t>
            </w:r>
          </w:p>
        </w:tc>
        <w:tc>
          <w:tcPr>
            <w:tcW w:type="dxa" w:w="624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0D7D6B"/>
                <w:sz w:val="20"/>
                <w:szCs w:val="20"/>
              </w:rPr>
              <w:t xml:space="preserve">Base documentaire RAG / (7 sous-dossiers)</w:t>
            </w:r>
          </w:p>
        </w:tc>
      </w:tr>
      <w:tr>
        <w:tc>
          <w:tcPr>
            <w:tcW w:type="dxa" w:w="3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Webhook RAG (externe)</w:t>
            </w:r>
          </w:p>
        </w:tc>
        <w:tc>
          <w:tcPr>
            <w:tcW w:type="dxa" w:w="624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0D7D6B"/>
                <w:sz w:val="20"/>
                <w:szCs w:val="20"/>
              </w:rPr>
              <w:t xml:space="preserve">POST /webhook/recherche-documentaire</w:t>
            </w:r>
          </w:p>
        </w:tc>
      </w:tr>
      <w:tr>
        <w:tc>
          <w:tcPr>
            <w:tcW w:type="dxa" w:w="3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Webhook RAG (interne)</w:t>
            </w:r>
          </w:p>
        </w:tc>
        <w:tc>
          <w:tcPr>
            <w:tcW w:type="dxa" w:w="624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0D7D6B"/>
                <w:sz w:val="20"/>
                <w:szCs w:val="20"/>
              </w:rPr>
              <w:t xml:space="preserve">POST /webhook/recherche-documentaire-interne (workflow Recherche_Documentaire_RAG)</w:t>
            </w:r>
          </w:p>
        </w:tc>
      </w:tr>
      <w:tr>
        <w:tc>
          <w:tcPr>
            <w:tcW w:type="dxa" w:w="3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Interface Web RAG (nouveau)</w:t>
            </w:r>
          </w:p>
        </w:tc>
        <w:tc>
          <w:tcPr>
            <w:tcW w:type="dxa" w:w="624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0D7D6B"/>
                <w:sz w:val="20"/>
                <w:szCs w:val="20"/>
              </w:rPr>
              <w:t xml:space="preserve">https://www.transferai.ci/demo/recherche-documentaire — page publique, sans authentification, réservée à un usage interne par convention</w:t>
            </w:r>
          </w:p>
        </w:tc>
      </w:tr>
      <w:tr>
        <w:tc>
          <w:tcPr>
            <w:tcW w:type="dxa" w:w="3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Statut OpenAI</w:t>
            </w:r>
          </w:p>
        </w:tc>
        <w:tc>
          <w:tcPr>
            <w:tcW w:type="dxa" w:w="624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0D7D6B"/>
                <w:sz w:val="20"/>
                <w:szCs w:val="20"/>
              </w:rPr>
              <w:t xml:space="preserve">https://status.openai.com</w:t>
            </w:r>
          </w:p>
        </w:tc>
      </w:tr>
    </w:tbl>
    <w:p>
      <w:pPr>
        <w:spacing w:after="100" w:before="200"/>
      </w:pPr>
      <w:r>
        <w:t xml:space="preserve"/>
      </w:r>
    </w:p>
    <w:p>
      <w:pPr>
        <w:pBdr>
          <w:bottom w:val="single" w:color="E8A020" w:sz="16" w:space="1"/>
        </w:pBdr>
        <w:spacing w:after="60" w:before="60"/>
      </w:pPr>
      <w:r>
        <w:t xml:space="preserve"/>
      </w:r>
    </w:p>
    <w:p>
      <w:pPr>
        <w:spacing w:after="60" w:before="100"/>
      </w:pPr>
      <w:r>
        <w:t xml:space="preserve"/>
      </w:r>
    </w:p>
    <w:p>
      <w:pPr>
        <w:spacing w:after="40" w:before="60"/>
        <w:jc w:val="center"/>
      </w:pPr>
      <w:r>
        <w:rPr>
          <w:rFonts w:ascii="Arial" w:cs="Arial" w:eastAsia="Arial" w:hAnsi="Arial"/>
          <w:b/>
          <w:bCs/>
          <w:color w:val="1B3F6E"/>
          <w:sz w:val="20"/>
          <w:szCs w:val="20"/>
        </w:rPr>
        <w:t xml:space="preserve">TransferAI Africa — Formation IA Pratique aux Métiers — Juillet 2026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Ce document est mis à jour automatiquement à chaque cycle de formation.</w:t>
      </w:r>
    </w:p>
    <w:p>
      <w:pPr>
        <w:spacing w:after="40" w:before="40"/>
        <w:jc w:val="center"/>
      </w:pPr>
      <w:r>
        <w:rPr>
          <w:rFonts w:ascii="Arial" w:cs="Arial" w:eastAsia="Arial" w:hAnsi="Arial"/>
          <w:color w:val="0D7D6B"/>
          <w:sz w:val="20"/>
          <w:szCs w:val="20"/>
        </w:rPr>
        <w:t xml:space="preserve">www.transferai.ci  |  contact@transferai.ci</w:t>
      </w:r>
    </w:p>
    <w:sectPr>
      <w:headerReference w:type="default" r:id="rId9"/>
      <w:footerReference w:type="default" r:id="rId10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8A020" w:sz="6" w:space="1"/>
      </w:pBdr>
      <w:tabs>
        <w:tab w:val="right" w:pos="9026"/>
      </w:tabs>
      <w:spacing w:after="0" w:before="80"/>
    </w:pPr>
    <w:r>
      <w:rPr>
        <w:rFonts w:ascii="Arial" w:cs="Arial" w:eastAsia="Arial" w:hAnsi="Arial"/>
        <w:i/>
        <w:iCs/>
        <w:color w:val="555555"/>
        <w:sz w:val="17"/>
        <w:szCs w:val="17"/>
      </w:rPr>
      <w:t xml:space="preserve">Confidentiel — Usage interne</w:t>
    </w:r>
    <w:r>
      <w:rPr>
        <w:rFonts w:ascii="Arial" w:cs="Arial" w:eastAsia="Arial" w:hAnsi="Arial"/>
        <w:color w:val="555555"/>
        <w:sz w:val="17"/>
        <w:szCs w:val="17"/>
      </w:rPr>
      <w:t xml:space="preserve">	Page </w:t>
    </w:r>
    <w:r>
      <w:rPr>
        <w:rFonts w:ascii="Arial" w:cs="Arial" w:eastAsia="Arial" w:hAnsi="Arial"/>
        <w:b/>
        <w:bCs/>
        <w:color w:val="1B3F6E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F6E" w:sz="6" w:space="1"/>
      </w:pBdr>
      <w:tabs>
        <w:tab w:val="right" w:pos="9026"/>
      </w:tabs>
      <w:spacing w:after="80" w:before="0"/>
    </w:pPr>
    <w:r>
      <w:rPr>
        <w:rFonts w:ascii="Arial" w:cs="Arial" w:eastAsia="Arial" w:hAnsi="Arial"/>
        <w:b/>
        <w:bCs/>
        <w:color w:val="1B3F6E"/>
        <w:sz w:val="18"/>
        <w:szCs w:val="18"/>
      </w:rPr>
      <w:t xml:space="preserve">TransferAI Africa  —  Guide RAG</w:t>
    </w:r>
    <w:r>
      <w:rPr>
        <w:rFonts w:ascii="Arial" w:cs="Arial" w:eastAsia="Arial" w:hAnsi="Arial"/>
        <w:color w:val="555555"/>
        <w:sz w:val="18"/>
        <w:szCs w:val="18"/>
      </w:rPr>
      <w:t xml:space="preserve">	Formation IA Juillet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8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►"/>
      <w:lvlJc w:val="left"/>
      <w:pPr>
        <w:ind w:left="580" w:hanging="28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Arial" w:cs="Arial" w:eastAsia="Arial" w:hAnsi="Arial"/>
      <w:b/>
      <w:bCs/>
      <w:color w:val="1B3F6E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Arial" w:cs="Arial" w:eastAsia="Arial" w:hAnsi="Arial"/>
      <w:b/>
      <w:bCs/>
      <w:color w:val="1B3F6E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color w:val="0D7D6B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2026-07-03T00:35:31.322Z</dcterms:created>
  <dcterms:modified xsi:type="dcterms:W3CDTF">2026-07-03T00:35:31.323Z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