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pPr>
      <w:r>
        <w:rPr>
          <w:b/>
          <w:bCs/>
          <w:color w:val="D66724"/>
          <w:sz w:val="20"/>
          <w:szCs w:val="20"/>
        </w:rPr>
        <w:t xml:space="preserve">MINI-CATALOGUE CIBLÉ</w:t>
      </w:r>
    </w:p>
    <w:p>
      <w:pPr>
        <w:spacing w:after="80"/>
      </w:pPr>
      <w:r>
        <w:rPr>
          <w:b/>
          <w:bCs/>
          <w:color w:val="10263F"/>
          <w:sz w:val="36"/>
          <w:szCs w:val="36"/>
        </w:rPr>
        <w:t xml:space="preserve">Proposition ciblée de formation, d'accompagnement et de partenariat IA pour AHK Côte d'Ivoire</w:t>
      </w:r>
    </w:p>
    <w:p>
      <w:pPr>
        <w:spacing w:after="300"/>
      </w:pPr>
      <w:r>
        <w:rPr>
          <w:i/>
          <w:iCs/>
          <w:color w:val="516072"/>
          <w:sz w:val="22"/>
          <w:szCs w:val="22"/>
        </w:rPr>
        <w:t xml:space="preserve">Veille économique, coordination bilingue et mise en relation des entreprises membres</w:t>
      </w:r>
    </w:p>
    <w:p>
      <w:pPr>
        <w:pStyle w:val="Heading1"/>
      </w:pPr>
      <w:r>
        <w:t xml:space="preserve">1. Synthèse exécutive</w:t>
      </w:r>
    </w:p>
    <w:p>
      <w:pPr>
        <w:spacing w:after="120"/>
      </w:pPr>
      <w:r>
        <w:t xml:space="preserve">AHK Côte d'Ivoire cherche à renforcer sa veille économique, sa coordination bilingue et son service aux entreprises membres. TransferAI Africa propose une démarche de service : un audit pour qualifier les priorités, une formation ciblée des équipes, puis un accompagnement de mise en pratique sur 90 jours.</w:t>
      </w:r>
    </w:p>
    <w:p>
      <w:pPr>
        <w:spacing w:after="120"/>
      </w:pPr>
      <w:r>
        <w:t xml:space="preserve">Au-delà de l'usage interne, ce document explore aussi une piste de partenariat de recommandation entre AHK Côte d'Ivoire et TransferAI Africa, au bénéfice des entreprises membres de la délégation.</w:t>
      </w:r>
    </w:p>
    <w:p>
      <w:pPr>
        <w:pStyle w:val="Heading1"/>
      </w:pPr>
      <w:r>
        <w:t xml:space="preserve">2. Lecture du contexte du prospect</w:t>
      </w:r>
    </w:p>
    <w:p>
      <w:pPr>
        <w:spacing w:after="120"/>
      </w:pPr>
      <w:r>
        <w:t xml:space="preserve">La Délégation de l'Économie Allemande en Côte d'Ivoire (AHK CI) représente les intérêts économiques allemands et facilite les échanges entre entreprises allemandes et ivoiriennes.</w:t>
      </w:r>
    </w:p>
    <w:p>
      <w:pPr>
        <w:spacing w:after="120"/>
      </w:pPr>
      <w:r>
        <w:t xml:space="preserve">Les fonctions les plus concernées par une meilleure exploitation de l'IA sont, à ce stade et sous réserve de confirmation lors de l'audit : la veille économique, la coordination bilingue français-allemand, et la préparation de missions et forums.</w:t>
      </w:r>
    </w:p>
    <w:p>
      <w:pPr>
        <w:spacing w:after="120"/>
      </w:pPr>
      <w:r>
        <w:t xml:space="preserve">Le sujet mérite d'être traité maintenant parce que le volume de contenus bilingues et le rythme des missions économiques mobilisent un temps d'équipe qui pourrait être en partie réorienté vers la valeur ajoutée relationnelle.</w:t>
      </w:r>
    </w:p>
    <w:p>
      <w:pPr>
        <w:pStyle w:val="Heading1"/>
      </w:pPr>
      <w:r>
        <w:t xml:space="preserve">3. Priorités métier et irritants visibles</w:t>
      </w:r>
    </w:p>
    <w:p>
      <w:pPr>
        <w:pStyle w:val="ListParagraph"/>
        <w:numPr>
          <w:ilvl w:val="0"/>
          <w:numId w:val="2"/>
        </w:numPr>
        <w:spacing w:after="60"/>
      </w:pPr>
      <w:r>
        <w:t xml:space="preserve">Contenus bilingues dispersés : documents circulant en français et en allemand sans synthèse stable.</w:t>
      </w:r>
    </w:p>
    <w:p>
      <w:pPr>
        <w:pStyle w:val="ListParagraph"/>
        <w:numPr>
          <w:ilvl w:val="0"/>
          <w:numId w:val="2"/>
        </w:numPr>
        <w:spacing w:after="60"/>
      </w:pPr>
      <w:r>
        <w:t xml:space="preserve">Veille économique consommatrice de temps sur le marché ivoirien et les opportunités sectorielles.</w:t>
      </w:r>
    </w:p>
    <w:p>
      <w:pPr>
        <w:pStyle w:val="ListParagraph"/>
        <w:numPr>
          <w:ilvl w:val="0"/>
          <w:numId w:val="2"/>
        </w:numPr>
        <w:spacing w:after="60"/>
      </w:pPr>
      <w:r>
        <w:t xml:space="preserve">Briefings de mission et de forum lourds à assembler.</w:t>
      </w:r>
    </w:p>
    <w:p>
      <w:pPr>
        <w:pStyle w:val="ListParagraph"/>
        <w:numPr>
          <w:ilvl w:val="0"/>
          <w:numId w:val="2"/>
        </w:numPr>
        <w:spacing w:after="60"/>
      </w:pPr>
      <w:r>
        <w:t xml:space="preserve">Mise en relation des entreprises membres avec des prestataires locaux encore artisanale.</w:t>
      </w:r>
    </w:p>
    <w:p>
      <w:pPr>
        <w:pStyle w:val="Heading1"/>
      </w:pPr>
      <w:r>
        <w:t xml:space="preserve">4. Cas d'usage et quick wins recommandés</w:t>
      </w:r>
    </w:p>
    <w:p>
      <w:pPr>
        <w:spacing w:after="120"/>
      </w:pPr>
      <w:r>
        <w:t xml:space="preserve">Ces cas d'usage restent des hypothèses de travail à confirmer et prioriser lors de l'audit.</w:t>
      </w:r>
    </w:p>
    <w:p>
      <w:pPr>
        <w:spacing w:after="60" w:before="160"/>
      </w:pPr>
      <w:r>
        <w:rPr>
          <w:b/>
          <w:bCs/>
          <w:color w:val="10263F"/>
          <w:sz w:val="22"/>
          <w:szCs w:val="22"/>
        </w:rPr>
        <w:t xml:space="preserve">Synthèse bilingue augmentée (cas d'usage phare)</w:t>
      </w:r>
    </w:p>
    <w:p>
      <w:pPr>
        <w:spacing w:after="40"/>
      </w:pPr>
      <w:r>
        <w:rPr>
          <w:b/>
          <w:bCs/>
          <w:color w:val="8A5A00"/>
        </w:rPr>
        <w:t xml:space="preserve">Avant : </w:t>
      </w:r>
      <w:r>
        <w:t xml:space="preserve">Documents circulant en français et en allemand sans synthèse stable entre équipes.</w:t>
      </w:r>
    </w:p>
    <w:p>
      <w:pPr>
        <w:spacing w:after="40"/>
      </w:pPr>
      <w:r>
        <w:rPr>
          <w:b/>
          <w:bCs/>
          <w:color w:val="2FB67E"/>
        </w:rPr>
        <w:t xml:space="preserve">Après : </w:t>
      </w:r>
      <w:r>
        <w:t xml:space="preserve">Résumés et reformulations qui facilitent la coopération documentaire.</w:t>
      </w:r>
    </w:p>
    <w:p>
      <w:pPr>
        <w:spacing w:after="120"/>
      </w:pPr>
      <w:r>
        <w:rPr>
          <w:b/>
          <w:bCs/>
          <w:color w:val="516072"/>
        </w:rPr>
        <w:t xml:space="preserve">KPI à suivre : </w:t>
      </w:r>
      <w:r>
        <w:rPr>
          <w:i/>
          <w:iCs/>
        </w:rPr>
        <w:t xml:space="preserve">Délai de synthèse ; couverture bilingue</w:t>
      </w:r>
    </w:p>
    <w:p>
      <w:pPr>
        <w:spacing w:after="60" w:before="160"/>
      </w:pPr>
      <w:r>
        <w:rPr>
          <w:b/>
          <w:bCs/>
          <w:color w:val="10263F"/>
          <w:sz w:val="22"/>
          <w:szCs w:val="22"/>
        </w:rPr>
        <w:t xml:space="preserve">Veille économique automatisée</w:t>
      </w:r>
    </w:p>
    <w:p>
      <w:pPr>
        <w:spacing w:after="40"/>
      </w:pPr>
      <w:r>
        <w:rPr>
          <w:b/>
          <w:bCs/>
          <w:color w:val="8A5A00"/>
        </w:rPr>
        <w:t xml:space="preserve">Avant : </w:t>
      </w:r>
      <w:r>
        <w:t xml:space="preserve">Suivi du marché ivoirien et des opportunités demandant un effort documentaire important.</w:t>
      </w:r>
    </w:p>
    <w:p>
      <w:pPr>
        <w:spacing w:after="40"/>
      </w:pPr>
      <w:r>
        <w:rPr>
          <w:b/>
          <w:bCs/>
          <w:color w:val="2FB67E"/>
        </w:rPr>
        <w:t xml:space="preserve">Après : </w:t>
      </w:r>
      <w:r>
        <w:t xml:space="preserve">Notes de veille préparées plus vite et plus régulièrement.</w:t>
      </w:r>
    </w:p>
    <w:p>
      <w:pPr>
        <w:spacing w:after="120"/>
      </w:pPr>
      <w:r>
        <w:rPr>
          <w:b/>
          <w:bCs/>
          <w:color w:val="516072"/>
        </w:rPr>
        <w:t xml:space="preserve">KPI à suivre : </w:t>
      </w:r>
      <w:r>
        <w:rPr>
          <w:i/>
          <w:iCs/>
        </w:rPr>
        <w:t xml:space="preserve">Fréquence de veille ; délai de diffusion</w:t>
      </w:r>
    </w:p>
    <w:p>
      <w:pPr>
        <w:spacing w:after="60" w:before="160"/>
      </w:pPr>
      <w:r>
        <w:rPr>
          <w:b/>
          <w:bCs/>
          <w:color w:val="10263F"/>
          <w:sz w:val="22"/>
          <w:szCs w:val="22"/>
        </w:rPr>
        <w:t xml:space="preserve">Préparation de briefings</w:t>
      </w:r>
    </w:p>
    <w:p>
      <w:pPr>
        <w:spacing w:after="40"/>
      </w:pPr>
      <w:r>
        <w:rPr>
          <w:b/>
          <w:bCs/>
          <w:color w:val="8A5A00"/>
        </w:rPr>
        <w:t xml:space="preserve">Avant : </w:t>
      </w:r>
      <w:r>
        <w:t xml:space="preserve">Missions, forums et rendez-vous demandant des fiches lourdes à assembler.</w:t>
      </w:r>
    </w:p>
    <w:p>
      <w:pPr>
        <w:spacing w:after="40"/>
      </w:pPr>
      <w:r>
        <w:rPr>
          <w:b/>
          <w:bCs/>
          <w:color w:val="2FB67E"/>
        </w:rPr>
        <w:t xml:space="preserve">Après : </w:t>
      </w:r>
      <w:r>
        <w:t xml:space="preserve">Préparation plus structurée, rapide et partageable.</w:t>
      </w:r>
    </w:p>
    <w:p>
      <w:pPr>
        <w:spacing w:after="120"/>
      </w:pPr>
      <w:r>
        <w:rPr>
          <w:b/>
          <w:bCs/>
          <w:color w:val="516072"/>
        </w:rPr>
        <w:t xml:space="preserve">KPI à suivre : </w:t>
      </w:r>
      <w:r>
        <w:rPr>
          <w:i/>
          <w:iCs/>
        </w:rPr>
        <w:t xml:space="preserve">Temps de préparation ; qualité perçue du brief</w:t>
      </w:r>
    </w:p>
    <w:p>
      <w:pPr>
        <w:spacing w:after="60" w:before="160"/>
      </w:pPr>
      <w:r>
        <w:rPr>
          <w:b/>
          <w:bCs/>
          <w:color w:val="10263F"/>
          <w:sz w:val="22"/>
          <w:szCs w:val="22"/>
        </w:rPr>
        <w:t xml:space="preserve">Mise en relation des membres</w:t>
      </w:r>
    </w:p>
    <w:p>
      <w:pPr>
        <w:spacing w:after="40"/>
      </w:pPr>
      <w:r>
        <w:rPr>
          <w:b/>
          <w:bCs/>
          <w:color w:val="8A5A00"/>
        </w:rPr>
        <w:t xml:space="preserve">Avant : </w:t>
      </w:r>
      <w:r>
        <w:t xml:space="preserve">Recommandation de prestataires locaux aux entreprises allemandes reste artisanale.</w:t>
      </w:r>
    </w:p>
    <w:p>
      <w:pPr>
        <w:spacing w:after="40"/>
      </w:pPr>
      <w:r>
        <w:rPr>
          <w:b/>
          <w:bCs/>
          <w:color w:val="2FB67E"/>
        </w:rPr>
        <w:t xml:space="preserve">Après : </w:t>
      </w:r>
      <w:r>
        <w:t xml:space="preserve">Un partenariat de recommandation structuré avec TransferAI pour les besoins IA des membres.</w:t>
      </w:r>
    </w:p>
    <w:p>
      <w:pPr>
        <w:spacing w:after="120"/>
      </w:pPr>
      <w:r>
        <w:rPr>
          <w:b/>
          <w:bCs/>
          <w:color w:val="516072"/>
        </w:rPr>
        <w:t xml:space="preserve">KPI à suivre : </w:t>
      </w:r>
      <w:r>
        <w:rPr>
          <w:i/>
          <w:iCs/>
        </w:rPr>
        <w:t xml:space="preserve">Nombre de mises en relation qualifiées</w:t>
      </w:r>
    </w:p>
    <w:p>
      <w:pPr>
        <w:pStyle w:val="Heading1"/>
      </w:pPr>
      <w:r>
        <w:t xml:space="preserve">5. Porte d'entrée recommandée</w:t>
      </w:r>
    </w:p>
    <w:p>
      <w:pPr>
        <w:spacing w:after="120"/>
      </w:pPr>
      <w:r>
        <w:t xml:space="preserve">Un audit IA gratuit ciblé sur la veille économique et la coordination bilingue, suivi d'un échange expert de 45 minutes explorant aussi la piste de partenariat.</w:t>
      </w:r>
    </w:p>
    <w:p>
      <w:pPr>
        <w:pStyle w:val="Heading1"/>
      </w:pPr>
      <w:r>
        <w:t xml:space="preserve">6. Parcours recommandé</w:t>
      </w:r>
    </w:p>
    <w:p>
      <w:pPr>
        <w:spacing w:after="60"/>
      </w:pPr>
      <w:r>
        <w:rPr>
          <w:b/>
          <w:bCs/>
        </w:rPr>
        <w:t xml:space="preserve">J+0 — Audit, cadrage et priorisation : </w:t>
      </w:r>
      <w:r>
        <w:t xml:space="preserve">identifier les flux prioritaires (veille, synthèse bilingue, briefings) et explorer la piste de partenariat.</w:t>
      </w:r>
    </w:p>
    <w:p>
      <w:pPr>
        <w:spacing w:after="60"/>
      </w:pPr>
      <w:r>
        <w:rPr>
          <w:b/>
          <w:bCs/>
        </w:rPr>
        <w:t xml:space="preserve">J+15 — Premier livrable utile : </w:t>
      </w:r>
      <w:r>
        <w:t xml:space="preserve">calibrer un premier kit de synthèse bilingue ou de veille économique sur des dossiers réels.</w:t>
      </w:r>
    </w:p>
    <w:p>
      <w:pPr>
        <w:spacing w:after="60"/>
      </w:pPr>
      <w:r>
        <w:rPr>
          <w:b/>
          <w:bCs/>
        </w:rPr>
        <w:t xml:space="preserve">J+45 — Formation ciblée et pilote : </w:t>
      </w:r>
      <w:r>
        <w:t xml:space="preserve">former les équipes retenues et lancer le premier terrain d'exécution, sous supervision humaine.</w:t>
      </w:r>
    </w:p>
    <w:p>
      <w:pPr>
        <w:spacing w:after="200"/>
      </w:pPr>
      <w:r>
        <w:rPr>
          <w:b/>
          <w:bCs/>
        </w:rPr>
        <w:t xml:space="preserve">J+90 — Mesure et décision : </w:t>
      </w:r>
      <w:r>
        <w:t xml:space="preserve">relire les premiers résultats et décider de l'extension du partenariat.</w:t>
      </w:r>
    </w:p>
    <w:p>
      <w:pPr>
        <w:pStyle w:val="Heading1"/>
      </w:pPr>
      <w:r>
        <w:t xml:space="preserve">7. Formations prioritaires</w:t>
      </w:r>
    </w:p>
    <w:p>
      <w:pPr>
        <w:spacing w:after="120"/>
      </w:pPr>
      <w:r>
        <w:t xml:space="preserve">Sélection resserrée à six formations, orientées veille, coordination bilingue et partenariat.</w:t>
      </w:r>
    </w:p>
    <w:p>
      <w:pPr>
        <w:spacing w:after="40"/>
      </w:pPr>
      <w:r>
        <w:rPr>
          <w:b/>
          <w:bCs/>
          <w:color w:val="D66724"/>
          <w:sz w:val="18"/>
          <w:szCs w:val="18"/>
        </w:rPr>
        <w:t xml:space="preserve">FAMILLE — VEILLE ET SYNTHÈSE</w:t>
      </w:r>
    </w:p>
    <w:p>
      <w:pPr>
        <w:spacing w:after="80" w:before="200"/>
      </w:pPr>
      <w:r>
        <w:rPr>
          <w:b/>
          <w:bCs/>
          <w:color w:val="10263F"/>
          <w:sz w:val="22"/>
          <w:szCs w:val="22"/>
        </w:rPr>
        <w:t xml:space="preserve">Veille Économique Augmentée par 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Équipes économiques de la délégation</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Accélérer la production de notes de veille sur le marché ivoirien</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Aucun prérequis technique avancé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Trames de note de veille ; grille de priorisation sectorielle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à confirmer selon le périmètre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AHK Côte d'Ivoire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Répond directement à l'irritant « veille consommatrice de temps ».</w:t>
            </w:r>
          </w:p>
        </w:tc>
      </w:tr>
    </w:tbl>
    <w:p/>
    <w:p>
      <w:pPr>
        <w:spacing w:after="80" w:before="200"/>
      </w:pPr>
      <w:r>
        <w:rPr>
          <w:b/>
          <w:bCs/>
          <w:color w:val="10263F"/>
          <w:sz w:val="22"/>
          <w:szCs w:val="22"/>
        </w:rPr>
        <w:t xml:space="preserve">Synthèse Bilingue Français-Allemand avec 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Toutes équipes de la délégation</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Produire des résumés et reformulations fiables entre français et allemand</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Aucun prérequis technique avancé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Trames de synthèse bilingue ; glossaire type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à confirmer selon le périmètre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AHK Côte d'Ivoire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Répond directement à l'irritant « contenus bilingues dispersés ».</w:t>
            </w:r>
          </w:p>
        </w:tc>
      </w:tr>
    </w:tbl>
    <w:p/>
    <w:p>
      <w:pPr>
        <w:spacing w:after="40"/>
      </w:pPr>
      <w:r>
        <w:rPr>
          <w:b/>
          <w:bCs/>
          <w:color w:val="D66724"/>
          <w:sz w:val="18"/>
          <w:szCs w:val="18"/>
        </w:rPr>
        <w:t xml:space="preserve">FAMILLE — COORDINATION ET MISSIONS</w:t>
      </w:r>
    </w:p>
    <w:p>
      <w:pPr>
        <w:spacing w:after="80" w:before="200"/>
      </w:pPr>
      <w:r>
        <w:rPr>
          <w:b/>
          <w:bCs/>
          <w:color w:val="10263F"/>
          <w:sz w:val="22"/>
          <w:szCs w:val="22"/>
        </w:rPr>
        <w:t xml:space="preserve">Préparation de Briefings avec 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Équipes en charge des missions et forums</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Structurer plus rapidement les fiches et éléments de langage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Aucun prérequis technique avancé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Trames de briefing type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à confirmer selon le périmètre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AHK Côte d'Ivoire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Répond à l'irritant « briefings difficiles à produire ».</w:t>
            </w:r>
          </w:p>
        </w:tc>
      </w:tr>
    </w:tbl>
    <w:p/>
    <w:p>
      <w:pPr>
        <w:spacing w:after="80" w:before="200"/>
      </w:pPr>
      <w:r>
        <w:rPr>
          <w:b/>
          <w:bCs/>
          <w:color w:val="10263F"/>
          <w:sz w:val="22"/>
          <w:szCs w:val="22"/>
        </w:rPr>
        <w:t xml:space="preserve">Coordination Multi-Partenaires par 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Équipes de coordination</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Fluidifier les échanges entre partenaires ivoiriens et allemands</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Aucun prérequis technique avancé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Trames de brief partagé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à confirmer selon le périmètre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AHK Côte d'Ivoire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Renforce la coordination institutionnelle.</w:t>
            </w:r>
          </w:p>
        </w:tc>
      </w:tr>
    </w:tbl>
    <w:p/>
    <w:p>
      <w:pPr>
        <w:spacing w:after="40"/>
      </w:pPr>
      <w:r>
        <w:rPr>
          <w:b/>
          <w:bCs/>
          <w:color w:val="D66724"/>
          <w:sz w:val="18"/>
          <w:szCs w:val="18"/>
        </w:rPr>
        <w:t xml:space="preserve">FAMILLE — DIRECTION ET PARTENARIAT</w:t>
      </w:r>
    </w:p>
    <w:p>
      <w:pPr>
        <w:spacing w:after="80" w:before="200"/>
      </w:pPr>
      <w:r>
        <w:rPr>
          <w:b/>
          <w:bCs/>
          <w:color w:val="10263F"/>
          <w:sz w:val="22"/>
          <w:szCs w:val="22"/>
        </w:rPr>
        <w:t xml:space="preserve">IA pour Dirigeants : Vision et Stratégie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Direction de la délégation</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Donner une lecture claire des usages, limites et conditions de réussite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Aucun prérequis technique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Grille de lecture des priorités ; cadre de gouvernance proposé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45 minutes à 1 demi-journée, à confirmer</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AHK Côte d'Ivoire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Assure l'alignement de la direction avant déploiement.</w:t>
            </w:r>
          </w:p>
        </w:tc>
      </w:tr>
    </w:tbl>
    <w:p/>
    <w:p>
      <w:pPr>
        <w:spacing w:after="80" w:before="200"/>
      </w:pPr>
      <w:r>
        <w:rPr>
          <w:b/>
          <w:bCs/>
          <w:color w:val="10263F"/>
          <w:sz w:val="22"/>
          <w:szCs w:val="22"/>
        </w:rPr>
        <w:t xml:space="preserve">Construction de Partenariats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Direction, développement économique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Structurer un partenariat de recommandation avec un acteur IA local</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Aucun prérequis technique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Trame de cadre de partenariat</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à confirmer selon le périmètre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AHK Côte d'Ivoire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Structure la piste de mise en relation des membres.</w:t>
            </w:r>
          </w:p>
        </w:tc>
      </w:tr>
    </w:tbl>
    <w:p/>
    <w:p>
      <w:pPr>
        <w:pStyle w:val="Heading1"/>
      </w:pPr>
      <w:r>
        <w:t xml:space="preserve">8. Livrables attendus</w:t>
      </w:r>
    </w:p>
    <w:p>
      <w:pPr>
        <w:pStyle w:val="ListParagraph"/>
        <w:numPr>
          <w:ilvl w:val="0"/>
          <w:numId w:val="2"/>
        </w:numPr>
        <w:spacing w:after="60"/>
      </w:pPr>
      <w:r>
        <w:t xml:space="preserve">Note de priorités et séquence recommandée.</w:t>
      </w:r>
    </w:p>
    <w:p>
      <w:pPr>
        <w:pStyle w:val="ListParagraph"/>
        <w:numPr>
          <w:ilvl w:val="0"/>
          <w:numId w:val="2"/>
        </w:numPr>
        <w:spacing w:after="60"/>
      </w:pPr>
      <w:r>
        <w:t xml:space="preserve">Premier kit de synthèse bilingue ou de veille économique calibré sur des dossiers réels.</w:t>
      </w:r>
    </w:p>
    <w:p>
      <w:pPr>
        <w:pStyle w:val="ListParagraph"/>
        <w:numPr>
          <w:ilvl w:val="0"/>
          <w:numId w:val="2"/>
        </w:numPr>
        <w:spacing w:after="60"/>
      </w:pPr>
      <w:r>
        <w:t xml:space="preserve">Supports de formation contextualisés à la veille et à la coordination bilingue.</w:t>
      </w:r>
    </w:p>
    <w:p>
      <w:pPr>
        <w:pStyle w:val="ListParagraph"/>
        <w:numPr>
          <w:ilvl w:val="0"/>
          <w:numId w:val="2"/>
        </w:numPr>
        <w:spacing w:after="60"/>
      </w:pPr>
      <w:r>
        <w:t xml:space="preserve">Trames, prompts, checklists réutilisables.</w:t>
      </w:r>
    </w:p>
    <w:p>
      <w:pPr>
        <w:pStyle w:val="ListParagraph"/>
        <w:numPr>
          <w:ilvl w:val="0"/>
          <w:numId w:val="2"/>
        </w:numPr>
        <w:spacing w:after="60"/>
      </w:pPr>
      <w:r>
        <w:t xml:space="preserve">Feuille de route d'exécution sur 90 jours.</w:t>
      </w:r>
    </w:p>
    <w:p>
      <w:pPr>
        <w:pStyle w:val="ListParagraph"/>
        <w:numPr>
          <w:ilvl w:val="0"/>
          <w:numId w:val="2"/>
        </w:numPr>
        <w:spacing w:after="60"/>
      </w:pPr>
      <w:r>
        <w:t xml:space="preserve">Cadre de partenariat de recommandation, si la piste est retenue.</w:t>
      </w:r>
    </w:p>
    <w:p>
      <w:pPr>
        <w:pStyle w:val="Heading1"/>
      </w:pPr>
      <w:r>
        <w:t xml:space="preserve">9. Gouvernance, confidentialité et conduite du changement</w:t>
      </w:r>
    </w:p>
    <w:p>
      <w:pPr>
        <w:spacing w:after="120"/>
      </w:pPr>
      <w:r>
        <w:t xml:space="preserve">Compte tenu de la nature institutionnelle et bilatérale d'AHK CI, ce volet est non négociable :</w:t>
      </w:r>
    </w:p>
    <w:p>
      <w:pPr>
        <w:pStyle w:val="ListParagraph"/>
        <w:numPr>
          <w:ilvl w:val="0"/>
          <w:numId w:val="2"/>
        </w:numPr>
        <w:spacing w:after="60"/>
      </w:pPr>
      <w:r>
        <w:t xml:space="preserve">Les documents économiques et données membres restent sous supervision humaine systématique.</w:t>
      </w:r>
    </w:p>
    <w:p>
      <w:pPr>
        <w:pStyle w:val="ListParagraph"/>
        <w:numPr>
          <w:ilvl w:val="0"/>
          <w:numId w:val="2"/>
        </w:numPr>
        <w:spacing w:after="60"/>
      </w:pPr>
      <w:r>
        <w:t xml:space="preserve">Toute synthèse ou recommandation générée par l'IA fait l'objet d'une revue humaine avant diffusion.</w:t>
      </w:r>
    </w:p>
    <w:p>
      <w:pPr>
        <w:pStyle w:val="ListParagraph"/>
        <w:numPr>
          <w:ilvl w:val="0"/>
          <w:numId w:val="2"/>
        </w:numPr>
        <w:spacing w:after="60"/>
      </w:pPr>
      <w:r>
        <w:t xml:space="preserve">La progression se fait par pilote encadré avant toute extension.</w:t>
      </w:r>
    </w:p>
    <w:p>
      <w:pPr>
        <w:pStyle w:val="ListParagraph"/>
        <w:numPr>
          <w:ilvl w:val="0"/>
          <w:numId w:val="2"/>
        </w:numPr>
        <w:spacing w:after="60"/>
      </w:pPr>
      <w:r>
        <w:t xml:space="preserve">Le cadre d'usage est documenté et validé par la direction de la délégation.</w:t>
      </w:r>
    </w:p>
    <w:p>
      <w:pPr>
        <w:pStyle w:val="Heading1"/>
      </w:pPr>
      <w:r>
        <w:t xml:space="preserve">10. Accompagnement post-formation</w:t>
      </w:r>
    </w:p>
    <w:p>
      <w:pPr>
        <w:spacing w:after="120"/>
      </w:pPr>
      <w:r>
        <w:t xml:space="preserve">L'accompagnement TransferAI ne s'arrête pas à la salle de formation. Les équipes formées gardent un accès gratuit à la communauté TransferAI pour partager des cas réels et recevoir des conseils pratiques d'exécution.</w:t>
      </w:r>
    </w:p>
    <w:p>
      <w:pPr>
        <w:pStyle w:val="Heading1"/>
      </w:pPr>
      <w:r>
        <w:t xml:space="preserve">11. Accompagnement 90 jours</w:t>
      </w:r>
    </w:p>
    <w:p>
      <w:pPr>
        <w:spacing w:after="120"/>
      </w:pPr>
      <w:r>
        <w:t xml:space="preserve">Après la formation, TransferAI reste engagé pendant 90 jours : points de suivi, permanence questions/réponses, revue des premiers cas traités, ajustement des trames, lecture des premiers résultats, puis décision sur la suite (extension et/ou partenariat).</w:t>
      </w:r>
    </w:p>
    <w:p>
      <w:pPr>
        <w:spacing w:after="120"/>
      </w:pPr>
      <w:r>
        <w:rPr>
          <w:i/>
          <w:iCs/>
          <w:color w:val="516072"/>
        </w:rPr>
        <w:t xml:space="preserve">Une structure de formation classique transmet un contenu. TransferAI forme, puis accompagne l'usage, la mise en pratique, la gouvernance et la montée en impact.</w:t>
      </w:r>
    </w:p>
    <w:p>
      <w:pPr>
        <w:pStyle w:val="Heading1"/>
      </w:pPr>
      <w:r>
        <w:t xml:space="preserve">12. Proposition immédiate</w:t>
      </w:r>
    </w:p>
    <w:p>
      <w:pPr>
        <w:spacing w:after="120"/>
      </w:pPr>
      <w:r>
        <w:t xml:space="preserve">Planifier un audit IA gratuit centré sur la veille économique et la coordination bilingue, suivi d'un échange expert de 45 minutes explorant aussi la piste de partenariat.</w:t>
      </w:r>
    </w:p>
    <w:p>
      <w:pPr>
        <w:pBdr>
          <w:top w:val="single" w:color="D9D3CC" w:sz="6" w:space="4"/>
        </w:pBdr>
        <w:spacing w:after="100" w:before="400"/>
      </w:pPr>
      <w:r>
        <w:t xml:space="preserve"/>
      </w:r>
    </w:p>
    <w:p>
      <w:pPr>
        <w:spacing w:after="20"/>
      </w:pPr>
      <w:r>
        <w:rPr>
          <w:b/>
          <w:bCs/>
          <w:color w:val="10263F"/>
        </w:rPr>
        <w:t xml:space="preserve">Soulemane Konate</w:t>
      </w:r>
    </w:p>
    <w:p>
      <w:pPr>
        <w:spacing w:after="120"/>
      </w:pPr>
      <w:r>
        <w:rPr>
          <w:color w:val="516072"/>
          <w:sz w:val="18"/>
          <w:szCs w:val="18"/>
        </w:rPr>
        <w:t xml:space="preserve">Directeur IA &amp; Innovation</w:t>
      </w:r>
    </w:p>
    <w:p>
      <w:pPr>
        <w:spacing w:after="20"/>
      </w:pPr>
      <w:r>
        <w:rPr>
          <w:b/>
          <w:bCs/>
          <w:color w:val="10263F"/>
        </w:rPr>
        <w:t xml:space="preserve">Medard Sery</w:t>
      </w:r>
    </w:p>
    <w:p>
      <w:pPr>
        <w:spacing w:after="20"/>
      </w:pPr>
      <w:r>
        <w:rPr>
          <w:color w:val="516072"/>
          <w:sz w:val="18"/>
          <w:szCs w:val="18"/>
        </w:rPr>
        <w:t xml:space="preserve">Consultant expert · Data engineering, cloud &amp; plateformes IA</w:t>
      </w:r>
    </w:p>
    <w:sectPr>
      <w:headerReference w:type="default" r:id="rId7"/>
      <w:footerReference w:type="default" r:id="rId8"/>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3CC" w:sz="4" w:space="4"/>
      </w:pBdr>
    </w:pPr>
    <w:r>
      <w:rPr>
        <w:color w:val="516072"/>
        <w:sz w:val="14"/>
        <w:szCs w:val="14"/>
      </w:rPr>
      <w:t xml:space="preserve">TransferAI | Hub IA de Nettelecom CI | contact@transferai.ci | www.transferai.ci | +225 07 16 57 39 90 | Riviera 3, carrefour Sainte Famille, Abidjan</w:t>
    </w:r>
  </w:p>
  <w:p>
    <w:pPr>
      <w:jc w:val="right"/>
    </w:pPr>
    <w:r>
      <w:rPr>
        <w:color w:val="516072"/>
        <w:sz w:val="14"/>
        <w:szCs w:val="14"/>
      </w:rPr>
      <w:t xml:space="preserve">Page </w:t>
    </w:r>
    <w:r>
      <w:rPr>
        <w:color w:val="5160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1076325" cy="476250"/>
          <wp:effectExtent t="0" r="0" b="0" l="0"/>
          <wp:docPr id="1" name="logo" descr="Logo" title="TransferAI x Nettel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76325"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6724" w:sz="6" w:space="4"/>
      </w:pBdr>
      <w:spacing w:after="180" w:before="360"/>
      <w:outlineLvl w:val="0"/>
    </w:pPr>
    <w:rPr>
      <w:rFonts w:ascii="Arial" w:cs="Arial" w:eastAsia="Arial" w:hAnsi="Arial"/>
      <w:b/>
      <w:bCs/>
      <w:color w:val="10263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D667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64d76f78d87d9c09756a902a6ee31e79f967c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2026-07-07T20:31:57.606Z</dcterms:created>
  <dcterms:modified xsi:type="dcterms:W3CDTF">2026-07-07T20:31:57.606Z</dcterms:modified>
</cp:coreProperties>
</file>

<file path=docProps/custom.xml><?xml version="1.0" encoding="utf-8"?>
<Properties xmlns="http://schemas.openxmlformats.org/officeDocument/2006/custom-properties" xmlns:vt="http://schemas.openxmlformats.org/officeDocument/2006/docPropsVTypes"/>
</file>