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pPr>
      <w:r>
        <w:rPr>
          <w:b/>
          <w:bCs/>
          <w:color w:val="D66724"/>
          <w:sz w:val="20"/>
          <w:szCs w:val="20"/>
        </w:rPr>
        <w:t xml:space="preserve">MINI-CATALOGUE CIBLÉ</w:t>
      </w:r>
    </w:p>
    <w:p>
      <w:pPr>
        <w:spacing w:after="80"/>
      </w:pPr>
      <w:r>
        <w:rPr>
          <w:b/>
          <w:bCs/>
          <w:color w:val="10263F"/>
          <w:sz w:val="36"/>
          <w:szCs w:val="36"/>
        </w:rPr>
        <w:t xml:space="preserve">Proposition ciblée de formation et d'accompagnement IA pour la BNI</w:t>
      </w:r>
    </w:p>
    <w:p>
      <w:pPr>
        <w:spacing w:after="300"/>
      </w:pPr>
      <w:r>
        <w:rPr>
          <w:i/>
          <w:iCs/>
          <w:color w:val="516072"/>
          <w:sz w:val="22"/>
          <w:szCs w:val="22"/>
        </w:rPr>
        <w:t xml:space="preserve">Instruction des financements, conformité et pilotage de portefeuille — Banque Nationale d'Investissement</w:t>
      </w:r>
    </w:p>
    <w:p>
      <w:pPr>
        <w:pStyle w:val="Heading1"/>
      </w:pPr>
      <w:r>
        <w:t xml:space="preserve">1. Synthèse exécutive</w:t>
      </w:r>
    </w:p>
    <w:p>
      <w:pPr>
        <w:spacing w:after="120"/>
      </w:pPr>
      <w:r>
        <w:t xml:space="preserve">La BNI cherche à accélérer l'instruction de ses dossiers de financement, à renforcer sa conformité et à améliorer la lisibilité de son reporting de portefeuille. TransferAI Africa propose une démarche de service : un audit pour qualifier les priorités, une formation ciblée des dirigeants et des équipes, puis un accompagnement de mise en pratique sur 90 jours.</w:t>
      </w:r>
    </w:p>
    <w:p>
      <w:pPr>
        <w:spacing w:after="120"/>
      </w:pPr>
      <w:r>
        <w:t xml:space="preserve">Contrairement à une formation ponctuelle qui transmet un contenu et s'arrête là, TransferAI reste engagé après la salle de formation : relecture des premiers usages, ajustement des outils, gouvernance et décision d'extension.</w:t>
      </w:r>
    </w:p>
    <w:p>
      <w:pPr>
        <w:pStyle w:val="Heading1"/>
      </w:pPr>
      <w:r>
        <w:t xml:space="preserve">2. Lecture du contexte du prospect</w:t>
      </w:r>
    </w:p>
    <w:p>
      <w:pPr>
        <w:spacing w:after="120"/>
      </w:pPr>
      <w:r>
        <w:t xml:space="preserve">La BNI (Banque Nationale d'Investissement) est une banque d'État dédiée au financement de projets structurants. Sa mission implique une instruction rigoureuse des dossiers, un pilotage de portefeuille exigeant et une conformité renforcée.</w:t>
      </w:r>
    </w:p>
    <w:p>
      <w:pPr>
        <w:spacing w:after="120"/>
      </w:pPr>
      <w:r>
        <w:t xml:space="preserve">Les fonctions les plus concernées par une meilleure exploitation de l'IA sont, à ce stade et sous réserve de confirmation lors de l'audit : l'instruction des financements, la conformité et le KYC, le reporting de portefeuille et la direction générale.</w:t>
      </w:r>
    </w:p>
    <w:p>
      <w:pPr>
        <w:spacing w:after="120"/>
      </w:pPr>
      <w:r>
        <w:t xml:space="preserve">Le sujet mérite d'être traité maintenant parce que le volume et la complexité des dossiers de financement mobilisent un temps d'expert qui pourrait être en partie réorienté vers l'analyse à valeur ajoutée.</w:t>
      </w:r>
    </w:p>
    <w:p>
      <w:pPr>
        <w:pStyle w:val="Heading1"/>
      </w:pPr>
      <w:r>
        <w:t xml:space="preserve">3. Priorités métier et irritants visibles</w:t>
      </w:r>
    </w:p>
    <w:p>
      <w:pPr>
        <w:pStyle w:val="ListParagraph"/>
        <w:numPr>
          <w:ilvl w:val="0"/>
          <w:numId w:val="2"/>
        </w:numPr>
        <w:spacing w:after="60"/>
      </w:pPr>
      <w:r>
        <w:t xml:space="preserve">Instruction des dossiers de financement longue avant présentation en comité d'investissement.</w:t>
      </w:r>
    </w:p>
    <w:p>
      <w:pPr>
        <w:pStyle w:val="ListParagraph"/>
        <w:numPr>
          <w:ilvl w:val="0"/>
          <w:numId w:val="2"/>
        </w:numPr>
        <w:spacing w:after="60"/>
      </w:pPr>
      <w:r>
        <w:t xml:space="preserve">Reporting de portefeuille chronophage : tableaux et notes de comité préparés manuellement.</w:t>
      </w:r>
    </w:p>
    <w:p>
      <w:pPr>
        <w:pStyle w:val="ListParagraph"/>
        <w:numPr>
          <w:ilvl w:val="0"/>
          <w:numId w:val="2"/>
        </w:numPr>
        <w:spacing w:after="60"/>
      </w:pPr>
      <w:r>
        <w:t xml:space="preserve">Contrôles de conformité et KYC dispersés, mobilisant beaucoup d'efforts manuels.</w:t>
      </w:r>
    </w:p>
    <w:p>
      <w:pPr>
        <w:pStyle w:val="ListParagraph"/>
        <w:numPr>
          <w:ilvl w:val="0"/>
          <w:numId w:val="2"/>
        </w:numPr>
        <w:spacing w:after="60"/>
      </w:pPr>
      <w:r>
        <w:t xml:space="preserve">Réponses aux porteurs de projets hétérogènes selon les canaux et les équipes.</w:t>
      </w:r>
    </w:p>
    <w:p>
      <w:pPr>
        <w:pStyle w:val="ListParagraph"/>
        <w:numPr>
          <w:ilvl w:val="0"/>
          <w:numId w:val="2"/>
        </w:numPr>
        <w:spacing w:after="60"/>
      </w:pPr>
      <w:r>
        <w:t xml:space="preserve">Décisions de comité parfois trop brutes ou trop tardives faute de notes synthétiques.</w:t>
      </w:r>
    </w:p>
    <w:p>
      <w:pPr>
        <w:pStyle w:val="Heading1"/>
      </w:pPr>
      <w:r>
        <w:t xml:space="preserve">4. Cas d'usage et quick wins recommandés</w:t>
      </w:r>
    </w:p>
    <w:p>
      <w:pPr>
        <w:spacing w:after="120"/>
      </w:pPr>
      <w:r>
        <w:t xml:space="preserve">Ces cas d'usage restent des hypothèses de travail à confirmer et prioriser lors de l'audit.</w:t>
      </w:r>
    </w:p>
    <w:p>
      <w:pPr>
        <w:spacing w:after="60" w:before="160"/>
      </w:pPr>
      <w:r>
        <w:rPr>
          <w:b/>
          <w:bCs/>
          <w:color w:val="10263F"/>
          <w:sz w:val="22"/>
          <w:szCs w:val="22"/>
        </w:rPr>
        <w:t xml:space="preserve">Analyse de dossiers de financement (cas d'usage phare)</w:t>
      </w:r>
    </w:p>
    <w:p>
      <w:pPr>
        <w:spacing w:after="40"/>
      </w:pPr>
      <w:r>
        <w:rPr>
          <w:b/>
          <w:bCs/>
          <w:color w:val="8A5A00"/>
        </w:rPr>
        <w:t xml:space="preserve">Avant : </w:t>
      </w:r>
      <w:r>
        <w:t xml:space="preserve">Dossiers longs à instruire avant comité d'investissement.</w:t>
      </w:r>
    </w:p>
    <w:p>
      <w:pPr>
        <w:spacing w:after="40"/>
      </w:pPr>
      <w:r>
        <w:rPr>
          <w:b/>
          <w:bCs/>
          <w:color w:val="2FB67E"/>
        </w:rPr>
        <w:t xml:space="preserve">Après : </w:t>
      </w:r>
      <w:r>
        <w:t xml:space="preserve">Éléments de synthèse et points de vigilance mis en avant pour préparer la décision.</w:t>
      </w:r>
    </w:p>
    <w:p>
      <w:pPr>
        <w:spacing w:after="120"/>
      </w:pPr>
      <w:r>
        <w:rPr>
          <w:b/>
          <w:bCs/>
          <w:color w:val="516072"/>
        </w:rPr>
        <w:t xml:space="preserve">KPI à suivre : </w:t>
      </w:r>
      <w:r>
        <w:rPr>
          <w:i/>
          <w:iCs/>
        </w:rPr>
        <w:t xml:space="preserve">Temps de préparation dossier ; délai d'arbitrage</w:t>
      </w:r>
    </w:p>
    <w:p>
      <w:pPr>
        <w:spacing w:after="60" w:before="160"/>
      </w:pPr>
      <w:r>
        <w:rPr>
          <w:b/>
          <w:bCs/>
          <w:color w:val="10263F"/>
          <w:sz w:val="22"/>
          <w:szCs w:val="22"/>
        </w:rPr>
        <w:t xml:space="preserve">Reporting de portefeuille</w:t>
      </w:r>
    </w:p>
    <w:p>
      <w:pPr>
        <w:spacing w:after="40"/>
      </w:pPr>
      <w:r>
        <w:rPr>
          <w:b/>
          <w:bCs/>
          <w:color w:val="8A5A00"/>
        </w:rPr>
        <w:t xml:space="preserve">Avant : </w:t>
      </w:r>
      <w:r>
        <w:t xml:space="preserve">Tableaux existants longs à commenter avant chaque comité.</w:t>
      </w:r>
    </w:p>
    <w:p>
      <w:pPr>
        <w:spacing w:after="40"/>
      </w:pPr>
      <w:r>
        <w:rPr>
          <w:b/>
          <w:bCs/>
          <w:color w:val="2FB67E"/>
        </w:rPr>
        <w:t xml:space="preserve">Après : </w:t>
      </w:r>
      <w:r>
        <w:t xml:space="preserve">Synthèses et commentaires de performance accélérés et mieux lisibles.</w:t>
      </w:r>
    </w:p>
    <w:p>
      <w:pPr>
        <w:spacing w:after="120"/>
      </w:pPr>
      <w:r>
        <w:rPr>
          <w:b/>
          <w:bCs/>
          <w:color w:val="516072"/>
        </w:rPr>
        <w:t xml:space="preserve">KPI à suivre : </w:t>
      </w:r>
      <w:r>
        <w:rPr>
          <w:i/>
          <w:iCs/>
        </w:rPr>
        <w:t xml:space="preserve">Temps de production ; délai de diffusion</w:t>
      </w:r>
    </w:p>
    <w:p>
      <w:pPr>
        <w:spacing w:after="60" w:before="160"/>
      </w:pPr>
      <w:r>
        <w:rPr>
          <w:b/>
          <w:bCs/>
          <w:color w:val="10263F"/>
          <w:sz w:val="22"/>
          <w:szCs w:val="22"/>
        </w:rPr>
        <w:t xml:space="preserve">Conformité et KYC</w:t>
      </w:r>
    </w:p>
    <w:p>
      <w:pPr>
        <w:spacing w:after="40"/>
      </w:pPr>
      <w:r>
        <w:rPr>
          <w:b/>
          <w:bCs/>
          <w:color w:val="8A5A00"/>
        </w:rPr>
        <w:t xml:space="preserve">Avant : </w:t>
      </w:r>
      <w:r>
        <w:t xml:space="preserve">Contrôles documentaires et signalements chronophages.</w:t>
      </w:r>
    </w:p>
    <w:p>
      <w:pPr>
        <w:spacing w:after="40"/>
      </w:pPr>
      <w:r>
        <w:rPr>
          <w:b/>
          <w:bCs/>
          <w:color w:val="2FB67E"/>
        </w:rPr>
        <w:t xml:space="preserve">Après : </w:t>
      </w:r>
      <w:r>
        <w:t xml:space="preserve">Écarts et pièces manquantes repérés plus tôt.</w:t>
      </w:r>
    </w:p>
    <w:p>
      <w:pPr>
        <w:spacing w:after="120"/>
      </w:pPr>
      <w:r>
        <w:rPr>
          <w:b/>
          <w:bCs/>
          <w:color w:val="516072"/>
        </w:rPr>
        <w:t xml:space="preserve">KPI à suivre : </w:t>
      </w:r>
      <w:r>
        <w:rPr>
          <w:i/>
          <w:iCs/>
        </w:rPr>
        <w:t xml:space="preserve">Temps de revue ; anomalies détectées tôt</w:t>
      </w:r>
    </w:p>
    <w:p>
      <w:pPr>
        <w:spacing w:after="60" w:before="160"/>
      </w:pPr>
      <w:r>
        <w:rPr>
          <w:b/>
          <w:bCs/>
          <w:color w:val="10263F"/>
          <w:sz w:val="22"/>
          <w:szCs w:val="22"/>
        </w:rPr>
        <w:t xml:space="preserve">Relation porteurs de projets</w:t>
      </w:r>
    </w:p>
    <w:p>
      <w:pPr>
        <w:spacing w:after="40"/>
      </w:pPr>
      <w:r>
        <w:rPr>
          <w:b/>
          <w:bCs/>
          <w:color w:val="8A5A00"/>
        </w:rPr>
        <w:t xml:space="preserve">Avant : </w:t>
      </w:r>
      <w:r>
        <w:t xml:space="preserve">Demandes récurrentes saturant les équipes.</w:t>
      </w:r>
    </w:p>
    <w:p>
      <w:pPr>
        <w:spacing w:after="40"/>
      </w:pPr>
      <w:r>
        <w:rPr>
          <w:b/>
          <w:bCs/>
          <w:color w:val="2FB67E"/>
        </w:rPr>
        <w:t xml:space="preserve">Après : </w:t>
      </w:r>
      <w:r>
        <w:t xml:space="preserve">Assistant de réponse encadré pour les cas récurrents.</w:t>
      </w:r>
    </w:p>
    <w:p>
      <w:pPr>
        <w:spacing w:after="120"/>
      </w:pPr>
      <w:r>
        <w:rPr>
          <w:b/>
          <w:bCs/>
          <w:color w:val="516072"/>
        </w:rPr>
        <w:t xml:space="preserve">KPI à suivre : </w:t>
      </w:r>
      <w:r>
        <w:rPr>
          <w:i/>
          <w:iCs/>
        </w:rPr>
        <w:t xml:space="preserve">Temps moyen de réponse ; taux de résolution 1er niveau</w:t>
      </w:r>
    </w:p>
    <w:p>
      <w:pPr>
        <w:pStyle w:val="Heading1"/>
      </w:pPr>
      <w:r>
        <w:t xml:space="preserve">5. Porte d'entrée recommandée</w:t>
      </w:r>
    </w:p>
    <w:p>
      <w:pPr>
        <w:spacing w:after="120"/>
      </w:pPr>
      <w:r>
        <w:t xml:space="preserve">Un audit IA gratuit ciblé sur l'instruction des dossiers, la conformité et le reporting de portefeuille, suivi d'un échange expert de 45 minutes.</w:t>
      </w:r>
    </w:p>
    <w:p>
      <w:pPr>
        <w:pStyle w:val="Heading1"/>
      </w:pPr>
      <w:r>
        <w:t xml:space="preserve">6. Parcours recommandé</w:t>
      </w:r>
    </w:p>
    <w:p>
      <w:pPr>
        <w:spacing w:after="60"/>
      </w:pPr>
      <w:r>
        <w:rPr>
          <w:b/>
          <w:bCs/>
        </w:rPr>
        <w:t xml:space="preserve">J+0 — Audit, cadrage et priorisation : </w:t>
      </w:r>
      <w:r>
        <w:t xml:space="preserve">identifier les flux prioritaires (instruction, conformité, reporting) et les équipes à mobiliser.</w:t>
      </w:r>
    </w:p>
    <w:p>
      <w:pPr>
        <w:spacing w:after="60"/>
      </w:pPr>
      <w:r>
        <w:rPr>
          <w:b/>
          <w:bCs/>
        </w:rPr>
        <w:t xml:space="preserve">J+15 — Premier livrable utile : </w:t>
      </w:r>
      <w:r>
        <w:t xml:space="preserve">calibrer un premier kit de synthèse de dossiers ou de reporting sur des données réelles de la BNI.</w:t>
      </w:r>
    </w:p>
    <w:p>
      <w:pPr>
        <w:spacing w:after="60"/>
      </w:pPr>
      <w:r>
        <w:rPr>
          <w:b/>
          <w:bCs/>
        </w:rPr>
        <w:t xml:space="preserve">J+45 — Formation ciblée et pilote : </w:t>
      </w:r>
      <w:r>
        <w:t xml:space="preserve">former les équipes retenues et lancer le premier terrain d'exécution, sous supervision humaine.</w:t>
      </w:r>
    </w:p>
    <w:p>
      <w:pPr>
        <w:spacing w:after="200"/>
      </w:pPr>
      <w:r>
        <w:rPr>
          <w:b/>
          <w:bCs/>
        </w:rPr>
        <w:t xml:space="preserve">J+90 — Mesure, gouvernance et extension : </w:t>
      </w:r>
      <w:r>
        <w:t xml:space="preserve">relire les premiers KPI, ajuster les usages et décider de l'extension.</w:t>
      </w:r>
    </w:p>
    <w:p>
      <w:pPr>
        <w:pStyle w:val="Heading1"/>
      </w:pPr>
      <w:r>
        <w:t xml:space="preserve">7. Formations prioritaires</w:t>
      </w:r>
    </w:p>
    <w:p>
      <w:pPr>
        <w:spacing w:after="120"/>
      </w:pPr>
      <w:r>
        <w:t xml:space="preserve">Sélection resserrée à six formations, regroupées en trois familles métier.</w:t>
      </w:r>
    </w:p>
    <w:p>
      <w:pPr>
        <w:spacing w:after="40"/>
      </w:pPr>
      <w:r>
        <w:rPr>
          <w:b/>
          <w:bCs/>
          <w:color w:val="D66724"/>
          <w:sz w:val="18"/>
          <w:szCs w:val="18"/>
        </w:rPr>
        <w:t xml:space="preserve">FAMILLE — INSTRUCTION ET FINANCEMENT</w:t>
      </w:r>
    </w:p>
    <w:p>
      <w:pPr>
        <w:spacing w:after="80" w:before="200"/>
      </w:pPr>
      <w:r>
        <w:rPr>
          <w:b/>
          <w:bCs/>
          <w:color w:val="10263F"/>
          <w:sz w:val="22"/>
          <w:szCs w:val="22"/>
        </w:rPr>
        <w:t xml:space="preserve">Analyse de Dossiers de Financement avec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Chargés d'affaires, analystes crédit</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Accélérer la préparation des synthèses de dossiers avant comité d'investissement</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 processus d'instruction en vigueur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Grille de synthèse de dossier ; checklist de points de vigilance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BNI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S'appuie directement sur l'irritant « instruction longue » identifié plus haut.</w:t>
            </w:r>
          </w:p>
        </w:tc>
      </w:tr>
    </w:tbl>
    <w:p/>
    <w:p>
      <w:pPr>
        <w:spacing w:after="80" w:before="200"/>
      </w:pPr>
      <w:r>
        <w:rPr>
          <w:b/>
          <w:bCs/>
          <w:color w:val="10263F"/>
          <w:sz w:val="22"/>
          <w:szCs w:val="22"/>
        </w:rPr>
        <w:t xml:space="preserve">Reporting de Portefeuille Automatisé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Contrôle de gestion, direction des risques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Accélérer la production des tableaux et notes de comité de portefeuille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Disposer d'exemples de reporting existants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Dashboard type ; trame de note de comité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BNI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Réduit le temps de production et le délai de diffusion identifiés dans les irritants.</w:t>
            </w:r>
          </w:p>
        </w:tc>
      </w:tr>
    </w:tbl>
    <w:p/>
    <w:p>
      <w:pPr>
        <w:spacing w:after="40"/>
      </w:pPr>
      <w:r>
        <w:rPr>
          <w:b/>
          <w:bCs/>
          <w:color w:val="D66724"/>
          <w:sz w:val="18"/>
          <w:szCs w:val="18"/>
        </w:rPr>
        <w:t xml:space="preserve">FAMILLE — CONFORMITÉ ET GOUVERNANCE</w:t>
      </w:r>
    </w:p>
    <w:p>
      <w:pPr>
        <w:spacing w:after="80" w:before="200"/>
      </w:pPr>
      <w:r>
        <w:rPr>
          <w:b/>
          <w:bCs/>
          <w:color w:val="10263F"/>
          <w:sz w:val="22"/>
          <w:szCs w:val="22"/>
        </w:rPr>
        <w:t xml:space="preserve">Conformité et KYC Augmentés par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Conformité, KYC</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Accélérer la revue documentaire et la détection des écarts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les procédures KYC en vigueur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Checklists de vigilance ; prompts de revue documentaire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BNI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directement à l'irritant « contrôles dispersés ».</w:t>
            </w:r>
          </w:p>
        </w:tc>
      </w:tr>
    </w:tbl>
    <w:p/>
    <w:p>
      <w:pPr>
        <w:spacing w:after="80" w:before="200"/>
      </w:pPr>
      <w:r>
        <w:rPr>
          <w:b/>
          <w:bCs/>
          <w:color w:val="10263F"/>
          <w:sz w:val="22"/>
          <w:szCs w:val="22"/>
        </w:rPr>
        <w:t xml:space="preserve">Audit Interne Augmenté par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Audit interne, contrôle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Structurer des synthèses d'audit et des recommandations exploitables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 référentiel de contrôle interne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Trames de synthèse d'audit ; checklists de qualification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BNI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Renforce la maîtrise du risque sur le portefeuille.</w:t>
            </w:r>
          </w:p>
        </w:tc>
      </w:tr>
    </w:tbl>
    <w:p/>
    <w:p>
      <w:pPr>
        <w:spacing w:after="40"/>
      </w:pPr>
      <w:r>
        <w:rPr>
          <w:b/>
          <w:bCs/>
          <w:color w:val="D66724"/>
          <w:sz w:val="18"/>
          <w:szCs w:val="18"/>
        </w:rPr>
        <w:t xml:space="preserve">FAMILLE — RELATION ET LEADERSHIP</w:t>
      </w:r>
    </w:p>
    <w:p>
      <w:pPr>
        <w:spacing w:after="80" w:before="200"/>
      </w:pPr>
      <w:r>
        <w:rPr>
          <w:b/>
          <w:bCs/>
          <w:color w:val="10263F"/>
          <w:sz w:val="22"/>
          <w:szCs w:val="22"/>
        </w:rPr>
        <w:t xml:space="preserve">Relation Porteurs de Projets Augmentée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Chargés d'affaires, relation clientèle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Homogénéiser les réponses aux porteurs de projets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les procédures de relation client existantes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Base de réponses type ; checklist de suivi</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BNI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à l'irritant « réponses hétérogènes ».</w:t>
            </w:r>
          </w:p>
        </w:tc>
      </w:tr>
    </w:tbl>
    <w:p/>
    <w:p>
      <w:pPr>
        <w:spacing w:after="80" w:before="200"/>
      </w:pPr>
      <w:r>
        <w:rPr>
          <w:b/>
          <w:bCs/>
          <w:color w:val="10263F"/>
          <w:sz w:val="22"/>
          <w:szCs w:val="22"/>
        </w:rPr>
        <w:t xml:space="preserve">IA pour Dirigeants : Vision et Stratégie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Direction générale, comité de direction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Donner une lecture claire des usages, limites et conditions de réussite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Grille de lecture des priorités ; cadre de gouvernance proposé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45 minutes à 1 demi-journée, à confirmer</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la BNI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Assure l'alignement de la direction avant déploiement.</w:t>
            </w:r>
          </w:p>
        </w:tc>
      </w:tr>
    </w:tbl>
    <w:p/>
    <w:p>
      <w:pPr>
        <w:pStyle w:val="Heading1"/>
      </w:pPr>
      <w:r>
        <w:t xml:space="preserve">8. Livrables attendus</w:t>
      </w:r>
    </w:p>
    <w:p>
      <w:pPr>
        <w:pStyle w:val="ListParagraph"/>
        <w:numPr>
          <w:ilvl w:val="0"/>
          <w:numId w:val="2"/>
        </w:numPr>
        <w:spacing w:after="60"/>
      </w:pPr>
      <w:r>
        <w:t xml:space="preserve">Note de priorités et séquence recommandée.</w:t>
      </w:r>
    </w:p>
    <w:p>
      <w:pPr>
        <w:pStyle w:val="ListParagraph"/>
        <w:numPr>
          <w:ilvl w:val="0"/>
          <w:numId w:val="2"/>
        </w:numPr>
        <w:spacing w:after="60"/>
      </w:pPr>
      <w:r>
        <w:t xml:space="preserve">Premier kit de synthèse de dossiers ou de reporting calibré sur les données de la BNI.</w:t>
      </w:r>
    </w:p>
    <w:p>
      <w:pPr>
        <w:pStyle w:val="ListParagraph"/>
        <w:numPr>
          <w:ilvl w:val="0"/>
          <w:numId w:val="2"/>
        </w:numPr>
        <w:spacing w:after="60"/>
      </w:pPr>
      <w:r>
        <w:t xml:space="preserve">Supports de formation contextualisés aux processus d'instruction et de conformité.</w:t>
      </w:r>
    </w:p>
    <w:p>
      <w:pPr>
        <w:pStyle w:val="ListParagraph"/>
        <w:numPr>
          <w:ilvl w:val="0"/>
          <w:numId w:val="2"/>
        </w:numPr>
        <w:spacing w:after="60"/>
      </w:pPr>
      <w:r>
        <w:t xml:space="preserve">Trames, prompts, checklists réutilisables.</w:t>
      </w:r>
    </w:p>
    <w:p>
      <w:pPr>
        <w:pStyle w:val="ListParagraph"/>
        <w:numPr>
          <w:ilvl w:val="0"/>
          <w:numId w:val="2"/>
        </w:numPr>
        <w:spacing w:after="60"/>
      </w:pPr>
      <w:r>
        <w:t xml:space="preserve">Feuille de route d'exécution sur 90 jours.</w:t>
      </w:r>
    </w:p>
    <w:p>
      <w:pPr>
        <w:pStyle w:val="ListParagraph"/>
        <w:numPr>
          <w:ilvl w:val="0"/>
          <w:numId w:val="2"/>
        </w:numPr>
        <w:spacing w:after="60"/>
      </w:pPr>
      <w:r>
        <w:t xml:space="preserve">Points de revue d'usage et d'adoption.</w:t>
      </w:r>
    </w:p>
    <w:p>
      <w:pPr>
        <w:pStyle w:val="Heading1"/>
      </w:pPr>
      <w:r>
        <w:t xml:space="preserve">9. Gouvernance, confidentialité et conduite du changement</w:t>
      </w:r>
    </w:p>
    <w:p>
      <w:pPr>
        <w:spacing w:after="120"/>
      </w:pPr>
      <w:r>
        <w:t xml:space="preserve">Compte tenu de la nature bancaire et régulée de la BNI, ce volet est non négociable :</w:t>
      </w:r>
    </w:p>
    <w:p>
      <w:pPr>
        <w:pStyle w:val="ListParagraph"/>
        <w:numPr>
          <w:ilvl w:val="0"/>
          <w:numId w:val="2"/>
        </w:numPr>
        <w:spacing w:after="60"/>
      </w:pPr>
      <w:r>
        <w:t xml:space="preserve">Les dossiers de financement, données clients et documents internes restent sous supervision humaine systématique.</w:t>
      </w:r>
    </w:p>
    <w:p>
      <w:pPr>
        <w:pStyle w:val="ListParagraph"/>
        <w:numPr>
          <w:ilvl w:val="0"/>
          <w:numId w:val="2"/>
        </w:numPr>
        <w:spacing w:after="60"/>
      </w:pPr>
      <w:r>
        <w:t xml:space="preserve">Toute recommandation d'instruction ou de conformité générée par l'IA fait l'objet d'une revue humaine avant décision.</w:t>
      </w:r>
    </w:p>
    <w:p>
      <w:pPr>
        <w:pStyle w:val="ListParagraph"/>
        <w:numPr>
          <w:ilvl w:val="0"/>
          <w:numId w:val="2"/>
        </w:numPr>
        <w:spacing w:after="60"/>
      </w:pPr>
      <w:r>
        <w:t xml:space="preserve">La progression se fait par pilote encadré avant toute extension.</w:t>
      </w:r>
    </w:p>
    <w:p>
      <w:pPr>
        <w:pStyle w:val="ListParagraph"/>
        <w:numPr>
          <w:ilvl w:val="0"/>
          <w:numId w:val="2"/>
        </w:numPr>
        <w:spacing w:after="60"/>
      </w:pPr>
      <w:r>
        <w:t xml:space="preserve">Le cadre d'usage est documenté et validé par les responsables métier identifiés.</w:t>
      </w:r>
    </w:p>
    <w:p>
      <w:pPr>
        <w:pStyle w:val="Heading1"/>
      </w:pPr>
      <w:r>
        <w:t xml:space="preserve">10. Accompagnement post-formation</w:t>
      </w:r>
    </w:p>
    <w:p>
      <w:pPr>
        <w:spacing w:after="120"/>
      </w:pPr>
      <w:r>
        <w:t xml:space="preserve">L'accompagnement TransferAI ne s'arrête pas à la salle de formation. Les équipes formées gardent un accès gratuit à la communauté TransferAI pour partager des cas réels et recevoir des conseils pratiques d'exécution.</w:t>
      </w:r>
    </w:p>
    <w:p>
      <w:pPr>
        <w:pStyle w:val="Heading1"/>
      </w:pPr>
      <w:r>
        <w:t xml:space="preserve">11. Accompagnement 90 jours</w:t>
      </w:r>
    </w:p>
    <w:p>
      <w:pPr>
        <w:spacing w:after="120"/>
      </w:pPr>
      <w:r>
        <w:t xml:space="preserve">Après la formation, TransferAI reste engagé pendant 90 jours : points de suivi, permanence questions/réponses, revue des premiers cas traités, ajustement des trames, lecture des premiers KPI, puis arbitrage sur la suite.</w:t>
      </w:r>
    </w:p>
    <w:p>
      <w:pPr>
        <w:spacing w:after="120"/>
      </w:pPr>
      <w:r>
        <w:rPr>
          <w:i/>
          <w:iCs/>
          <w:color w:val="516072"/>
        </w:rPr>
        <w:t xml:space="preserve">Une structure de formation classique transmet un contenu. TransferAI forme, puis accompagne l'usage, la mise en pratique, la gouvernance et la montée en impact.</w:t>
      </w:r>
    </w:p>
    <w:p>
      <w:pPr>
        <w:pStyle w:val="Heading1"/>
      </w:pPr>
      <w:r>
        <w:t xml:space="preserve">12. Proposition immédiate</w:t>
      </w:r>
    </w:p>
    <w:p>
      <w:pPr>
        <w:spacing w:after="120"/>
      </w:pPr>
      <w:r>
        <w:t xml:space="preserve">Planifier un audit IA gratuit centré sur l'instruction des dossiers, la conformité et le reporting de portefeuille, suivi d'un échange expert de 45 minutes.</w:t>
      </w:r>
    </w:p>
    <w:p>
      <w:pPr>
        <w:pBdr>
          <w:top w:val="single" w:color="D9D3CC" w:sz="6" w:space="4"/>
        </w:pBdr>
        <w:spacing w:after="100" w:before="400"/>
      </w:pPr>
      <w:r>
        <w:t xml:space="preserve"/>
      </w:r>
    </w:p>
    <w:p>
      <w:pPr>
        <w:spacing w:after="20"/>
      </w:pPr>
      <w:r>
        <w:rPr>
          <w:b/>
          <w:bCs/>
          <w:color w:val="10263F"/>
        </w:rPr>
        <w:t xml:space="preserve">Soulemane Konate</w:t>
      </w:r>
    </w:p>
    <w:p>
      <w:pPr>
        <w:spacing w:after="120"/>
      </w:pPr>
      <w:r>
        <w:rPr>
          <w:color w:val="516072"/>
          <w:sz w:val="18"/>
          <w:szCs w:val="18"/>
        </w:rPr>
        <w:t xml:space="preserve">Directeur IA &amp; Innovation</w:t>
      </w:r>
    </w:p>
    <w:p>
      <w:pPr>
        <w:spacing w:after="20"/>
      </w:pPr>
      <w:r>
        <w:rPr>
          <w:b/>
          <w:bCs/>
          <w:color w:val="10263F"/>
        </w:rPr>
        <w:t xml:space="preserve">Medard Sery</w:t>
      </w:r>
    </w:p>
    <w:p>
      <w:pPr>
        <w:spacing w:after="20"/>
      </w:pPr>
      <w:r>
        <w:rPr>
          <w:color w:val="516072"/>
          <w:sz w:val="18"/>
          <w:szCs w:val="18"/>
        </w:rPr>
        <w:t xml:space="preserve">Consultant expert · Data engineering, cloud &amp; plateformes IA</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C" w:sz="4" w:space="4"/>
      </w:pBdr>
    </w:pPr>
    <w:r>
      <w:rPr>
        <w:color w:val="516072"/>
        <w:sz w:val="14"/>
        <w:szCs w:val="14"/>
      </w:rPr>
      <w:t xml:space="preserve">TransferAI | Hub IA de Nettelecom CI | contact@transferai.ci | www.transferai.ci | +225 07 16 57 39 90 | Riviera 3, carrefour Sainte Famille, Abidjan</w:t>
    </w:r>
  </w:p>
  <w:p>
    <w:pPr>
      <w:jc w:val="right"/>
    </w:pPr>
    <w:r>
      <w:rPr>
        <w:color w:val="516072"/>
        <w:sz w:val="14"/>
        <w:szCs w:val="14"/>
      </w:rPr>
      <w:t xml:space="preserve">Page </w:t>
    </w:r>
    <w:r>
      <w:rPr>
        <w:color w:val="5160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076325" cy="476250"/>
          <wp:effectExtent t="0" r="0" b="0" l="0"/>
          <wp:docPr id="1" name="logo" descr="Logo" title="TransferAI x Nette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76325"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6724" w:sz="6" w:space="4"/>
      </w:pBdr>
      <w:spacing w:after="180" w:before="360"/>
      <w:outlineLvl w:val="0"/>
    </w:pPr>
    <w:rPr>
      <w:rFonts w:ascii="Arial" w:cs="Arial" w:eastAsia="Arial" w:hAnsi="Arial"/>
      <w:b/>
      <w:bCs/>
      <w:color w:val="10263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D667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4d76f78d87d9c09756a902a6ee31e79f967c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2026-07-07T20:31:57.304Z</dcterms:created>
  <dcterms:modified xsi:type="dcterms:W3CDTF">2026-07-07T20:31:57.304Z</dcterms:modified>
</cp:coreProperties>
</file>

<file path=docProps/custom.xml><?xml version="1.0" encoding="utf-8"?>
<Properties xmlns="http://schemas.openxmlformats.org/officeDocument/2006/custom-properties" xmlns:vt="http://schemas.openxmlformats.org/officeDocument/2006/docPropsVTypes"/>
</file>