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b/>
          <w:bCs/>
          <w:color w:val="D66724"/>
          <w:sz w:val="20"/>
          <w:szCs w:val="20"/>
        </w:rPr>
        <w:t xml:space="preserve">MINI-CATALOGUE CIBLÉ</w:t>
      </w:r>
    </w:p>
    <w:p>
      <w:pPr>
        <w:spacing w:after="80"/>
      </w:pPr>
      <w:r>
        <w:rPr>
          <w:b/>
          <w:bCs/>
          <w:color w:val="10263F"/>
          <w:sz w:val="36"/>
          <w:szCs w:val="36"/>
        </w:rPr>
        <w:t xml:space="preserve">Proposition ciblée de formation et d'accompagnement IA pour la CIE et la SODECI</w:t>
      </w:r>
    </w:p>
    <w:p>
      <w:pPr>
        <w:spacing w:after="300"/>
      </w:pPr>
      <w:r>
        <w:rPr>
          <w:i/>
          <w:iCs/>
          <w:color w:val="516072"/>
          <w:sz w:val="22"/>
          <w:szCs w:val="22"/>
        </w:rPr>
        <w:t xml:space="preserve">Relation usager, exploitation et coordination terrain-siège</w:t>
      </w:r>
    </w:p>
    <w:p>
      <w:pPr>
        <w:pStyle w:val="Heading1"/>
      </w:pPr>
      <w:r>
        <w:t xml:space="preserve">1. Synthèse exécutive</w:t>
      </w:r>
    </w:p>
    <w:p>
      <w:pPr>
        <w:spacing w:after="120"/>
      </w:pPr>
      <w:r>
        <w:t xml:space="preserve">La CIE et la SODECI cherchent à améliorer la qualité de service rendue à leurs usagers et la lisibilité de leur pilotage d'exploitation. TransferAI Africa propose une démarche de service : un audit pour qualifier les priorités, une formation ciblée des dirigeants et des équipes, puis un accompagnement de mise en pratique sur 90 jours.</w:t>
      </w:r>
    </w:p>
    <w:p>
      <w:pPr>
        <w:spacing w:after="120"/>
      </w:pPr>
      <w:r>
        <w:t xml:space="preserve">Ce mini-catalogue est construit pour être pertinent aux deux concessions, électricité et eau, dont les irritants et cas d'usage se recoupent largement. Une note de priorités distincte serait établie pour chaque structure à l'issue de l'audit.</w:t>
      </w:r>
    </w:p>
    <w:p>
      <w:pPr>
        <w:pStyle w:val="Heading1"/>
      </w:pPr>
      <w:r>
        <w:t xml:space="preserve">2. Lecture du contexte du prospect</w:t>
      </w:r>
    </w:p>
    <w:p>
      <w:pPr>
        <w:spacing w:after="120"/>
      </w:pPr>
      <w:r>
        <w:t xml:space="preserve">La CIE (électricité) et la SODECI (eau) sont deux concessionnaires de service public opérant à grande échelle en Côte d'Ivoire, avec un très grand nombre d'usagers et une exploitation terrain distribuée.</w:t>
      </w:r>
    </w:p>
    <w:p>
      <w:pPr>
        <w:spacing w:after="120"/>
      </w:pPr>
      <w:r>
        <w:t xml:space="preserve">Les fonctions les plus concernées par une meilleure exploitation de l'IA sont, à ce stade et sous réserve de confirmation lors de l'audit : la relation usager, l'exploitation et le reporting d'incidents, ainsi que la coordination entre le terrain et le siège.</w:t>
      </w:r>
    </w:p>
    <w:p>
      <w:pPr>
        <w:spacing w:after="120"/>
      </w:pPr>
      <w:r>
        <w:t xml:space="preserve">Le sujet mérite d'être traité maintenant parce que le volume de demandes usagers et la dispersion documentaire pèsent déjà sur la qualité de service perçue.</w:t>
      </w:r>
    </w:p>
    <w:p>
      <w:pPr>
        <w:pStyle w:val="Heading1"/>
      </w:pPr>
      <w:r>
        <w:t xml:space="preserve">3. Priorités métier et irritants visibles</w:t>
      </w:r>
    </w:p>
    <w:p>
      <w:pPr>
        <w:pStyle w:val="ListParagraph"/>
        <w:numPr>
          <w:ilvl w:val="0"/>
          <w:numId w:val="2"/>
        </w:numPr>
        <w:spacing w:after="60"/>
      </w:pPr>
      <w:r>
        <w:t xml:space="preserve">Relation usager sous tension : demandes et réclamations en volume, réponses variables selon les canaux.</w:t>
      </w:r>
    </w:p>
    <w:p>
      <w:pPr>
        <w:pStyle w:val="ListParagraph"/>
        <w:numPr>
          <w:ilvl w:val="0"/>
          <w:numId w:val="2"/>
        </w:numPr>
        <w:spacing w:after="60"/>
      </w:pPr>
      <w:r>
        <w:t xml:space="preserve">Incidents difficiles à commenter : données d'exploitation peu reliées à une lecture managériale claire.</w:t>
      </w:r>
    </w:p>
    <w:p>
      <w:pPr>
        <w:pStyle w:val="ListParagraph"/>
        <w:numPr>
          <w:ilvl w:val="0"/>
          <w:numId w:val="2"/>
        </w:numPr>
        <w:spacing w:after="60"/>
      </w:pPr>
      <w:r>
        <w:t xml:space="preserve">Documents et procédures dispersés, sans référentiel simple pour les équipes terrain.</w:t>
      </w:r>
    </w:p>
    <w:p>
      <w:pPr>
        <w:pStyle w:val="ListParagraph"/>
        <w:numPr>
          <w:ilvl w:val="0"/>
          <w:numId w:val="2"/>
        </w:numPr>
        <w:spacing w:after="60"/>
      </w:pPr>
      <w:r>
        <w:t xml:space="preserve">Coordination terrain/siège lente : les priorités ne remontent pas toujours à temps.</w:t>
      </w:r>
    </w:p>
    <w:p>
      <w:pPr>
        <w:pStyle w:val="Heading1"/>
      </w:pPr>
      <w:r>
        <w:t xml:space="preserve">4. Cas d'usage et quick wins recommandés</w:t>
      </w:r>
    </w:p>
    <w:p>
      <w:pPr>
        <w:spacing w:after="120"/>
      </w:pPr>
      <w:r>
        <w:t xml:space="preserve">Ces cas d'usage restent des hypothèses de travail à confirmer et prioriser lors de l'audit, pour chaque structure séparément.</w:t>
      </w:r>
    </w:p>
    <w:p>
      <w:pPr>
        <w:spacing w:after="60" w:before="160"/>
      </w:pPr>
      <w:r>
        <w:rPr>
          <w:b/>
          <w:bCs/>
          <w:color w:val="10263F"/>
          <w:sz w:val="22"/>
          <w:szCs w:val="22"/>
        </w:rPr>
        <w:t xml:space="preserve">Relation usager augmentée (cas d'usage phare)</w:t>
      </w:r>
    </w:p>
    <w:p>
      <w:pPr>
        <w:spacing w:after="40"/>
      </w:pPr>
      <w:r>
        <w:rPr>
          <w:b/>
          <w:bCs/>
          <w:color w:val="8A5A00"/>
        </w:rPr>
        <w:t xml:space="preserve">Avant : </w:t>
      </w:r>
      <w:r>
        <w:t xml:space="preserve">Demandes et réclamations en volume, réponses variables selon les canaux.</w:t>
      </w:r>
    </w:p>
    <w:p>
      <w:pPr>
        <w:spacing w:after="40"/>
      </w:pPr>
      <w:r>
        <w:rPr>
          <w:b/>
          <w:bCs/>
          <w:color w:val="2FB67E"/>
        </w:rPr>
        <w:t xml:space="preserve">Après : </w:t>
      </w:r>
      <w:r>
        <w:t xml:space="preserve">Scripts et base de réponse encadrés pour un service plus homogène.</w:t>
      </w:r>
    </w:p>
    <w:p>
      <w:pPr>
        <w:spacing w:after="120"/>
      </w:pPr>
      <w:r>
        <w:rPr>
          <w:b/>
          <w:bCs/>
          <w:color w:val="516072"/>
        </w:rPr>
        <w:t xml:space="preserve">KPI à suivre : </w:t>
      </w:r>
      <w:r>
        <w:rPr>
          <w:i/>
          <w:iCs/>
        </w:rPr>
        <w:t xml:space="preserve">Temps de réponse ; taux de résolution 1er niveau</w:t>
      </w:r>
    </w:p>
    <w:p>
      <w:pPr>
        <w:spacing w:after="60" w:before="160"/>
      </w:pPr>
      <w:r>
        <w:rPr>
          <w:b/>
          <w:bCs/>
          <w:color w:val="10263F"/>
          <w:sz w:val="22"/>
          <w:szCs w:val="22"/>
        </w:rPr>
        <w:t xml:space="preserve">Reporting d'incidents</w:t>
      </w:r>
    </w:p>
    <w:p>
      <w:pPr>
        <w:spacing w:after="40"/>
      </w:pPr>
      <w:r>
        <w:rPr>
          <w:b/>
          <w:bCs/>
          <w:color w:val="8A5A00"/>
        </w:rPr>
        <w:t xml:space="preserve">Avant : </w:t>
      </w:r>
      <w:r>
        <w:t xml:space="preserve">Données d'exploitation difficiles à relier à une lecture managériale claire.</w:t>
      </w:r>
    </w:p>
    <w:p>
      <w:pPr>
        <w:spacing w:after="40"/>
      </w:pPr>
      <w:r>
        <w:rPr>
          <w:b/>
          <w:bCs/>
          <w:color w:val="2FB67E"/>
        </w:rPr>
        <w:t xml:space="preserve">Après : </w:t>
      </w:r>
      <w:r>
        <w:t xml:space="preserve">Synthèses commentées plus utiles pour arbitrer et communiquer.</w:t>
      </w:r>
    </w:p>
    <w:p>
      <w:pPr>
        <w:spacing w:after="120"/>
      </w:pPr>
      <w:r>
        <w:rPr>
          <w:b/>
          <w:bCs/>
          <w:color w:val="516072"/>
        </w:rPr>
        <w:t xml:space="preserve">KPI à suivre : </w:t>
      </w:r>
      <w:r>
        <w:rPr>
          <w:i/>
          <w:iCs/>
        </w:rPr>
        <w:t xml:space="preserve">Délai de synthèse ; lisibilité managériale</w:t>
      </w:r>
    </w:p>
    <w:p>
      <w:pPr>
        <w:spacing w:after="60" w:before="160"/>
      </w:pPr>
      <w:r>
        <w:rPr>
          <w:b/>
          <w:bCs/>
          <w:color w:val="10263F"/>
          <w:sz w:val="22"/>
          <w:szCs w:val="22"/>
        </w:rPr>
        <w:t xml:space="preserve">Procédures et consignes centralisées</w:t>
      </w:r>
    </w:p>
    <w:p>
      <w:pPr>
        <w:spacing w:after="40"/>
      </w:pPr>
      <w:r>
        <w:rPr>
          <w:b/>
          <w:bCs/>
          <w:color w:val="8A5A00"/>
        </w:rPr>
        <w:t xml:space="preserve">Avant : </w:t>
      </w:r>
      <w:r>
        <w:t xml:space="preserve">Consignes et supports circulant sans référentiel simple.</w:t>
      </w:r>
    </w:p>
    <w:p>
      <w:pPr>
        <w:spacing w:after="40"/>
      </w:pPr>
      <w:r>
        <w:rPr>
          <w:b/>
          <w:bCs/>
          <w:color w:val="2FB67E"/>
        </w:rPr>
        <w:t xml:space="preserve">Après : </w:t>
      </w:r>
      <w:r>
        <w:t xml:space="preserve">Accès plus rapide aux bonnes procédures et messages.</w:t>
      </w:r>
    </w:p>
    <w:p>
      <w:pPr>
        <w:spacing w:after="120"/>
      </w:pPr>
      <w:r>
        <w:rPr>
          <w:b/>
          <w:bCs/>
          <w:color w:val="516072"/>
        </w:rPr>
        <w:t xml:space="preserve">KPI à suivre : </w:t>
      </w:r>
      <w:r>
        <w:rPr>
          <w:i/>
          <w:iCs/>
        </w:rPr>
        <w:t xml:space="preserve">Délai d'accès ; couverture documentaire</w:t>
      </w:r>
    </w:p>
    <w:p>
      <w:pPr>
        <w:spacing w:after="60" w:before="160"/>
      </w:pPr>
      <w:r>
        <w:rPr>
          <w:b/>
          <w:bCs/>
          <w:color w:val="10263F"/>
          <w:sz w:val="22"/>
          <w:szCs w:val="22"/>
        </w:rPr>
        <w:t xml:space="preserve">Coordination terrain / siège</w:t>
      </w:r>
    </w:p>
    <w:p>
      <w:pPr>
        <w:spacing w:after="40"/>
      </w:pPr>
      <w:r>
        <w:rPr>
          <w:b/>
          <w:bCs/>
          <w:color w:val="8A5A00"/>
        </w:rPr>
        <w:t xml:space="preserve">Avant : </w:t>
      </w:r>
      <w:r>
        <w:t xml:space="preserve">Priorités ne remontant pas toujours à temps.</w:t>
      </w:r>
    </w:p>
    <w:p>
      <w:pPr>
        <w:spacing w:after="40"/>
      </w:pPr>
      <w:r>
        <w:rPr>
          <w:b/>
          <w:bCs/>
          <w:color w:val="2FB67E"/>
        </w:rPr>
        <w:t xml:space="preserve">Après : </w:t>
      </w:r>
      <w:r>
        <w:t xml:space="preserve">Routines de synthèse et de brief qui facilitent l'action rapide.</w:t>
      </w:r>
    </w:p>
    <w:p>
      <w:pPr>
        <w:spacing w:after="120"/>
      </w:pPr>
      <w:r>
        <w:rPr>
          <w:b/>
          <w:bCs/>
          <w:color w:val="516072"/>
        </w:rPr>
        <w:t xml:space="preserve">KPI à suivre : </w:t>
      </w:r>
      <w:r>
        <w:rPr>
          <w:i/>
          <w:iCs/>
        </w:rPr>
        <w:t xml:space="preserve">Délai de remontée d'information</w:t>
      </w:r>
    </w:p>
    <w:p>
      <w:pPr>
        <w:pStyle w:val="Heading1"/>
      </w:pPr>
      <w:r>
        <w:t xml:space="preserve">5. Porte d'entrée recommandée</w:t>
      </w:r>
    </w:p>
    <w:p>
      <w:pPr>
        <w:spacing w:after="120"/>
      </w:pPr>
      <w:r>
        <w:t xml:space="preserve">Un audit IA gratuit ciblé sur la relation usager et le pilotage de l'exploitation, suivi d'un échange expert de 45 minutes — pour chaque structure séparément.</w:t>
      </w:r>
    </w:p>
    <w:p>
      <w:pPr>
        <w:pStyle w:val="Heading1"/>
      </w:pPr>
      <w:r>
        <w:t xml:space="preserve">6. Parcours recommandé</w:t>
      </w:r>
    </w:p>
    <w:p>
      <w:pPr>
        <w:spacing w:after="60"/>
      </w:pPr>
      <w:r>
        <w:rPr>
          <w:b/>
          <w:bCs/>
        </w:rPr>
        <w:t xml:space="preserve">J+0 — Audit, cadrage et priorisation : </w:t>
      </w:r>
      <w:r>
        <w:t xml:space="preserve">identifier les flux prioritaires (relation usager, incidents, coordination) et les équipes à mobiliser.</w:t>
      </w:r>
    </w:p>
    <w:p>
      <w:pPr>
        <w:spacing w:after="60"/>
      </w:pPr>
      <w:r>
        <w:rPr>
          <w:b/>
          <w:bCs/>
        </w:rPr>
        <w:t xml:space="preserve">J+15 — Premier livrable utile : </w:t>
      </w:r>
      <w:r>
        <w:t xml:space="preserve">calibrer un premier kit de réponse usager ou de reporting d'incidents sur des données réelles.</w:t>
      </w:r>
    </w:p>
    <w:p>
      <w:pPr>
        <w:spacing w:after="60"/>
      </w:pPr>
      <w:r>
        <w:rPr>
          <w:b/>
          <w:bCs/>
        </w:rPr>
        <w:t xml:space="preserve">J+45 — Formation ciblée et pilote : </w:t>
      </w:r>
      <w:r>
        <w:t xml:space="preserve">former les équipes retenues et lancer le premier terrain d'exécution, sous supervision humaine.</w:t>
      </w:r>
    </w:p>
    <w:p>
      <w:pPr>
        <w:spacing w:after="200"/>
      </w:pPr>
      <w:r>
        <w:rPr>
          <w:b/>
          <w:bCs/>
        </w:rPr>
        <w:t xml:space="preserve">J+90 — Mesure, gouvernance et extension : </w:t>
      </w:r>
      <w:r>
        <w:t xml:space="preserve">relire les premiers KPI, ajuster les usages et décider de l'extension.</w:t>
      </w:r>
    </w:p>
    <w:p>
      <w:pPr>
        <w:pStyle w:val="Heading1"/>
      </w:pPr>
      <w:r>
        <w:t xml:space="preserve">7. Formations prioritaires</w:t>
      </w:r>
    </w:p>
    <w:p>
      <w:pPr>
        <w:spacing w:after="120"/>
      </w:pPr>
      <w:r>
        <w:t xml:space="preserve">Sélection resserrée à six formations, regroupées en trois familles métier.</w:t>
      </w:r>
    </w:p>
    <w:p>
      <w:pPr>
        <w:spacing w:after="40"/>
      </w:pPr>
      <w:r>
        <w:rPr>
          <w:b/>
          <w:bCs/>
          <w:color w:val="D66724"/>
          <w:sz w:val="18"/>
          <w:szCs w:val="18"/>
        </w:rPr>
        <w:t xml:space="preserve">FAMILLE — RELATION USAGER</w:t>
      </w:r>
    </w:p>
    <w:p>
      <w:pPr>
        <w:spacing w:after="80" w:before="200"/>
      </w:pPr>
      <w:r>
        <w:rPr>
          <w:b/>
          <w:bCs/>
          <w:color w:val="10263F"/>
          <w:sz w:val="22"/>
          <w:szCs w:val="22"/>
        </w:rPr>
        <w:t xml:space="preserve">Relation Usager Augmentée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Service client, centres d'appel</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Homogénéiser les réponses sur pannes, coupures et facturation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les scripts et procédures de service existants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Base de réponses type ; scripts encadrés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directement à l'irritant « relation usager sous tension ».</w:t>
            </w:r>
          </w:p>
        </w:tc>
      </w:tr>
    </w:tbl>
    <w:p/>
    <w:p>
      <w:pPr>
        <w:spacing w:after="80" w:before="200"/>
      </w:pPr>
      <w:r>
        <w:rPr>
          <w:b/>
          <w:bCs/>
          <w:color w:val="10263F"/>
          <w:sz w:val="22"/>
          <w:szCs w:val="22"/>
        </w:rPr>
        <w:t xml:space="preserve">Gestion des Réclamations Automatisée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Service client, qualité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Structurer et accélérer le traitement des réclamations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Checklist de traitement ; grille de suivi</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Améliore le taux de résolution au premier niveau.</w:t>
            </w:r>
          </w:p>
        </w:tc>
      </w:tr>
    </w:tbl>
    <w:p/>
    <w:p>
      <w:pPr>
        <w:spacing w:after="40"/>
      </w:pPr>
      <w:r>
        <w:rPr>
          <w:b/>
          <w:bCs/>
          <w:color w:val="D66724"/>
          <w:sz w:val="18"/>
          <w:szCs w:val="18"/>
        </w:rPr>
        <w:t xml:space="preserve">FAMILLE — EXPLOITATION ET REPORTING</w:t>
      </w:r>
    </w:p>
    <w:p>
      <w:pPr>
        <w:spacing w:after="80" w:before="200"/>
      </w:pPr>
      <w:r>
        <w:rPr>
          <w:b/>
          <w:bCs/>
          <w:color w:val="10263F"/>
          <w:sz w:val="22"/>
          <w:szCs w:val="22"/>
        </w:rPr>
        <w:t xml:space="preserve">Reporting d'Incidents Automatisé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Exploitation, direction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production de synthèses d'incidents commentées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Disposer d'exemples de reporting existants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 type ; trames de commentaire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incidents difficiles à commenter ».</w:t>
            </w:r>
          </w:p>
        </w:tc>
      </w:tr>
    </w:tbl>
    <w:p/>
    <w:p>
      <w:pPr>
        <w:spacing w:after="80" w:before="200"/>
      </w:pPr>
      <w:r>
        <w:rPr>
          <w:b/>
          <w:bCs/>
          <w:color w:val="10263F"/>
          <w:sz w:val="22"/>
          <w:szCs w:val="22"/>
        </w:rPr>
        <w:t xml:space="preserve">Procédures Centralisées avec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Exploitation terrain, siège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Centraliser et faciliter l'accès aux procédures et consignes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Base documentaire type ; recherche sémantique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documents et procédures dispersés ».</w:t>
            </w:r>
          </w:p>
        </w:tc>
      </w:tr>
    </w:tbl>
    <w:p/>
    <w:p>
      <w:pPr>
        <w:spacing w:after="40"/>
      </w:pPr>
      <w:r>
        <w:rPr>
          <w:b/>
          <w:bCs/>
          <w:color w:val="D66724"/>
          <w:sz w:val="18"/>
          <w:szCs w:val="18"/>
        </w:rPr>
        <w:t xml:space="preserve">FAMILLE — DIRECTION ET PILOTAGE</w:t>
      </w:r>
    </w:p>
    <w:p>
      <w:pPr>
        <w:spacing w:after="80" w:before="200"/>
      </w:pPr>
      <w:r>
        <w:rPr>
          <w:b/>
          <w:bCs/>
          <w:color w:val="10263F"/>
          <w:sz w:val="22"/>
          <w:szCs w:val="22"/>
        </w:rPr>
        <w:t xml:space="preserve">Coordination Terrain-Siège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d'exploitation, management terrain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Fluidifier la remontée d'information entre terrain et siège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brief ; routines de synthèse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coordination terrain/siège lente ».</w:t>
            </w:r>
          </w:p>
        </w:tc>
      </w:tr>
    </w:tbl>
    <w:p/>
    <w:p>
      <w:pPr>
        <w:spacing w:after="80" w:before="200"/>
      </w:pPr>
      <w:r>
        <w:rPr>
          <w:b/>
          <w:bCs/>
          <w:color w:val="10263F"/>
          <w:sz w:val="22"/>
          <w:szCs w:val="22"/>
        </w:rPr>
        <w:t xml:space="preserve">IA pour Dirigeants : Vision et Stratégie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générale, comité de direction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Donner une lecture claire des usages, limites et conditions de réussite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Grille de lecture des priorités ; cadre de gouvernance proposé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45 minutes à 1 demi-journée, à confirmer</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CIE et la SODECI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Assure l'alignement de la direction avant déploiement.</w:t>
            </w:r>
          </w:p>
        </w:tc>
      </w:tr>
    </w:tbl>
    <w:p/>
    <w:p>
      <w:pPr>
        <w:pStyle w:val="Heading1"/>
      </w:pPr>
      <w:r>
        <w:t xml:space="preserve">8. Livrables attendus</w:t>
      </w:r>
    </w:p>
    <w:p>
      <w:pPr>
        <w:pStyle w:val="ListParagraph"/>
        <w:numPr>
          <w:ilvl w:val="0"/>
          <w:numId w:val="2"/>
        </w:numPr>
        <w:spacing w:after="60"/>
      </w:pPr>
      <w:r>
        <w:t xml:space="preserve">Note de priorités et séquence recommandée, pour chaque structure.</w:t>
      </w:r>
    </w:p>
    <w:p>
      <w:pPr>
        <w:pStyle w:val="ListParagraph"/>
        <w:numPr>
          <w:ilvl w:val="0"/>
          <w:numId w:val="2"/>
        </w:numPr>
        <w:spacing w:after="60"/>
      </w:pPr>
      <w:r>
        <w:t xml:space="preserve">Premier kit de réponse usager ou de reporting d'incidents calibré sur des données réelles.</w:t>
      </w:r>
    </w:p>
    <w:p>
      <w:pPr>
        <w:pStyle w:val="ListParagraph"/>
        <w:numPr>
          <w:ilvl w:val="0"/>
          <w:numId w:val="2"/>
        </w:numPr>
        <w:spacing w:after="60"/>
      </w:pPr>
      <w:r>
        <w:t xml:space="preserve">Supports de formation contextualisés à la relation usager et à l'exploitation.</w:t>
      </w:r>
    </w:p>
    <w:p>
      <w:pPr>
        <w:pStyle w:val="ListParagraph"/>
        <w:numPr>
          <w:ilvl w:val="0"/>
          <w:numId w:val="2"/>
        </w:numPr>
        <w:spacing w:after="60"/>
      </w:pPr>
      <w:r>
        <w:t xml:space="preserve">Trames, prompts, checklists réutilisables.</w:t>
      </w:r>
    </w:p>
    <w:p>
      <w:pPr>
        <w:pStyle w:val="ListParagraph"/>
        <w:numPr>
          <w:ilvl w:val="0"/>
          <w:numId w:val="2"/>
        </w:numPr>
        <w:spacing w:after="60"/>
      </w:pPr>
      <w:r>
        <w:t xml:space="preserve">Feuille de route d'exécution sur 90 jours.</w:t>
      </w:r>
    </w:p>
    <w:p>
      <w:pPr>
        <w:pStyle w:val="ListParagraph"/>
        <w:numPr>
          <w:ilvl w:val="0"/>
          <w:numId w:val="2"/>
        </w:numPr>
        <w:spacing w:after="60"/>
      </w:pPr>
      <w:r>
        <w:t xml:space="preserve">Points de revue d'usage et d'adoption.</w:t>
      </w:r>
    </w:p>
    <w:p>
      <w:pPr>
        <w:pStyle w:val="Heading1"/>
      </w:pPr>
      <w:r>
        <w:t xml:space="preserve">9. Gouvernance, confidentialité et conduite du changement</w:t>
      </w:r>
    </w:p>
    <w:p>
      <w:pPr>
        <w:spacing w:after="120"/>
      </w:pPr>
      <w:r>
        <w:t xml:space="preserve">Compte tenu de la nature de service public de la CIE et de la SODECI, ce volet est non négociable :</w:t>
      </w:r>
    </w:p>
    <w:p>
      <w:pPr>
        <w:pStyle w:val="ListParagraph"/>
        <w:numPr>
          <w:ilvl w:val="0"/>
          <w:numId w:val="2"/>
        </w:numPr>
        <w:spacing w:after="60"/>
      </w:pPr>
      <w:r>
        <w:t xml:space="preserve">Les données usagers et d'exploitation restent sous supervision humaine systématique.</w:t>
      </w:r>
    </w:p>
    <w:p>
      <w:pPr>
        <w:pStyle w:val="ListParagraph"/>
        <w:numPr>
          <w:ilvl w:val="0"/>
          <w:numId w:val="2"/>
        </w:numPr>
        <w:spacing w:after="60"/>
      </w:pPr>
      <w:r>
        <w:t xml:space="preserve">Toute réponse ou synthèse générée par l'IA fait l'objet d'une revue humaine avant diffusion aux usagers.</w:t>
      </w:r>
    </w:p>
    <w:p>
      <w:pPr>
        <w:pStyle w:val="ListParagraph"/>
        <w:numPr>
          <w:ilvl w:val="0"/>
          <w:numId w:val="2"/>
        </w:numPr>
        <w:spacing w:after="60"/>
      </w:pPr>
      <w:r>
        <w:t xml:space="preserve">La progression se fait par pilote encadré avant toute extension.</w:t>
      </w:r>
    </w:p>
    <w:p>
      <w:pPr>
        <w:pStyle w:val="ListParagraph"/>
        <w:numPr>
          <w:ilvl w:val="0"/>
          <w:numId w:val="2"/>
        </w:numPr>
        <w:spacing w:after="60"/>
      </w:pPr>
      <w:r>
        <w:t xml:space="preserve">Le cadre d'usage est documenté et validé par les responsables métier identifiés.</w:t>
      </w:r>
    </w:p>
    <w:p>
      <w:pPr>
        <w:pStyle w:val="Heading1"/>
      </w:pPr>
      <w:r>
        <w:t xml:space="preserve">10. Accompagnement post-formation</w:t>
      </w:r>
    </w:p>
    <w:p>
      <w:pPr>
        <w:spacing w:after="120"/>
      </w:pPr>
      <w:r>
        <w:t xml:space="preserve">L'accompagnement TransferAI ne s'arrête pas à la salle de formation. Les équipes formées gardent un accès gratuit à la communauté TransferAI pour partager des cas réels et recevoir des conseils pratiques d'exécution.</w:t>
      </w:r>
    </w:p>
    <w:p>
      <w:pPr>
        <w:pStyle w:val="Heading1"/>
      </w:pPr>
      <w:r>
        <w:t xml:space="preserve">11. Accompagnement 90 jours</w:t>
      </w:r>
    </w:p>
    <w:p>
      <w:pPr>
        <w:spacing w:after="120"/>
      </w:pPr>
      <w:r>
        <w:t xml:space="preserve">Après la formation, TransferAI reste engagé pendant 90 jours : points de suivi, permanence questions/réponses, revue des premiers cas traités, ajustement des trames, lecture des premiers KPI, puis arbitrage sur la suite.</w:t>
      </w:r>
    </w:p>
    <w:p>
      <w:pPr>
        <w:spacing w:after="120"/>
      </w:pPr>
      <w:r>
        <w:rPr>
          <w:i/>
          <w:iCs/>
          <w:color w:val="516072"/>
        </w:rPr>
        <w:t xml:space="preserve">Une structure de formation classique transmet un contenu. TransferAI forme, puis accompagne l'usage, la mise en pratique, la gouvernance et la montée en impact.</w:t>
      </w:r>
    </w:p>
    <w:p>
      <w:pPr>
        <w:pStyle w:val="Heading1"/>
      </w:pPr>
      <w:r>
        <w:t xml:space="preserve">12. Proposition immédiate</w:t>
      </w:r>
    </w:p>
    <w:p>
      <w:pPr>
        <w:spacing w:after="120"/>
      </w:pPr>
      <w:r>
        <w:t xml:space="preserve">Planifier un audit IA gratuit centré sur la relation usager et le pilotage de l'exploitation, suivi d'un échange expert de 45 minutes.</w:t>
      </w:r>
    </w:p>
    <w:p>
      <w:pPr>
        <w:pBdr>
          <w:top w:val="single" w:color="D9D3CC" w:sz="6" w:space="4"/>
        </w:pBdr>
        <w:spacing w:after="100" w:before="400"/>
      </w:pPr>
      <w:r>
        <w:t xml:space="preserve"/>
      </w:r>
    </w:p>
    <w:p>
      <w:pPr>
        <w:spacing w:after="20"/>
      </w:pPr>
      <w:r>
        <w:rPr>
          <w:b/>
          <w:bCs/>
          <w:color w:val="10263F"/>
        </w:rPr>
        <w:t xml:space="preserve">Soulemane Konate</w:t>
      </w:r>
    </w:p>
    <w:p>
      <w:pPr>
        <w:spacing w:after="120"/>
      </w:pPr>
      <w:r>
        <w:rPr>
          <w:color w:val="516072"/>
          <w:sz w:val="18"/>
          <w:szCs w:val="18"/>
        </w:rPr>
        <w:t xml:space="preserve">Directeur IA &amp; Innovation</w:t>
      </w:r>
    </w:p>
    <w:p>
      <w:pPr>
        <w:spacing w:after="20"/>
      </w:pPr>
      <w:r>
        <w:rPr>
          <w:b/>
          <w:bCs/>
          <w:color w:val="10263F"/>
        </w:rPr>
        <w:t xml:space="preserve">Medard Sery</w:t>
      </w:r>
    </w:p>
    <w:p>
      <w:pPr>
        <w:spacing w:after="20"/>
      </w:pPr>
      <w:r>
        <w:rPr>
          <w:color w:val="516072"/>
          <w:sz w:val="18"/>
          <w:szCs w:val="18"/>
        </w:rPr>
        <w:t xml:space="preserve">Consultant expert · Data engineering, cloud &amp; plateformes IA</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C" w:sz="4" w:space="4"/>
      </w:pBdr>
    </w:pPr>
    <w:r>
      <w:rPr>
        <w:color w:val="516072"/>
        <w:sz w:val="14"/>
        <w:szCs w:val="14"/>
      </w:rPr>
      <w:t xml:space="preserve">TransferAI | Hub IA de Nettelecom CI | contact@transferai.ci | www.transferai.ci | +225 07 16 57 39 90 | Riviera 3, carrefour Sainte Famille, Abidjan</w:t>
    </w:r>
  </w:p>
  <w:p>
    <w:pPr>
      <w:jc w:val="right"/>
    </w:pPr>
    <w:r>
      <w:rPr>
        <w:color w:val="516072"/>
        <w:sz w:val="14"/>
        <w:szCs w:val="14"/>
      </w:rPr>
      <w:t xml:space="preserve">Page </w:t>
    </w:r>
    <w:r>
      <w:rPr>
        <w:color w:val="5160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076325" cy="476250"/>
          <wp:effectExtent t="0" r="0" b="0" l="0"/>
          <wp:docPr id="1" name="logo" descr="Logo" title="TransferAI x Net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6724" w:sz="6" w:space="4"/>
      </w:pBdr>
      <w:spacing w:after="180" w:before="360"/>
      <w:outlineLvl w:val="0"/>
    </w:pPr>
    <w:rPr>
      <w:rFonts w:ascii="Arial" w:cs="Arial" w:eastAsia="Arial" w:hAnsi="Arial"/>
      <w:b/>
      <w:bCs/>
      <w:color w:val="10263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D667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4d76f78d87d9c09756a902a6ee31e79f967c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2026-07-07T20:31:57.509Z</dcterms:created>
  <dcterms:modified xsi:type="dcterms:W3CDTF">2026-07-07T20:31:57.509Z</dcterms:modified>
</cp:coreProperties>
</file>

<file path=docProps/custom.xml><?xml version="1.0" encoding="utf-8"?>
<Properties xmlns="http://schemas.openxmlformats.org/officeDocument/2006/custom-properties" xmlns:vt="http://schemas.openxmlformats.org/officeDocument/2006/docPropsVTypes"/>
</file>