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b/>
          <w:bCs/>
          <w:color w:val="D66724"/>
          <w:sz w:val="20"/>
          <w:szCs w:val="20"/>
        </w:rPr>
        <w:t xml:space="preserve">MINI-CATALOGUE CIBLÉ</w:t>
      </w:r>
    </w:p>
    <w:p>
      <w:pPr>
        <w:spacing w:after="80"/>
      </w:pPr>
      <w:r>
        <w:rPr>
          <w:b/>
          <w:bCs/>
          <w:color w:val="10263F"/>
          <w:sz w:val="36"/>
          <w:szCs w:val="36"/>
        </w:rPr>
        <w:t xml:space="preserve">Proposition ciblée de formation et d'accompagnement IA pour le Port Autonome de San Pedro</w:t>
      </w:r>
    </w:p>
    <w:p>
      <w:pPr>
        <w:spacing w:after="300"/>
      </w:pPr>
      <w:r>
        <w:rPr>
          <w:i/>
          <w:iCs/>
          <w:color w:val="516072"/>
          <w:sz w:val="22"/>
          <w:szCs w:val="22"/>
        </w:rPr>
        <w:t xml:space="preserve">Coordination portuaire, documentation et exploitation</w:t>
      </w:r>
    </w:p>
    <w:p>
      <w:pPr>
        <w:pStyle w:val="Heading1"/>
      </w:pPr>
      <w:r>
        <w:t xml:space="preserve">1. Synthèse exécutive</w:t>
      </w:r>
    </w:p>
    <w:p>
      <w:pPr>
        <w:spacing w:after="120"/>
      </w:pPr>
      <w:r>
        <w:t xml:space="preserve">Le Port Autonome de San Pedro cherche à fluidifier sa coordination multi-acteurs, sa documentation et son pilotage d'exploitation. TransferAI Africa propose une démarche de service : un audit pour qualifier les priorités, une formation ciblée des dirigeants et des équipes, puis un accompagnement de mise en pratique sur 90 jours.</w:t>
      </w:r>
    </w:p>
    <w:p>
      <w:pPr>
        <w:spacing w:after="120"/>
      </w:pPr>
      <w:r>
        <w:t xml:space="preserve">Contrairement à une formation ponctuelle qui transmet un contenu et s'arrête là, TransferAI reste engagé après la salle de formation : relecture des premiers usages, ajustement des outils, gouvernance et décision d'extension.</w:t>
      </w:r>
    </w:p>
    <w:p>
      <w:pPr>
        <w:pStyle w:val="Heading1"/>
      </w:pPr>
      <w:r>
        <w:t xml:space="preserve">2. Lecture du contexte du prospect</w:t>
      </w:r>
    </w:p>
    <w:p>
      <w:pPr>
        <w:spacing w:after="120"/>
      </w:pPr>
      <w:r>
        <w:t xml:space="preserve">Le Port Autonome de San Pedro est une autorité portuaire publique qui coordonne au quotidien terminaux, transit, sûreté et exploitation, avec une documentation dense et des flux multi-acteurs.</w:t>
      </w:r>
    </w:p>
    <w:p>
      <w:pPr>
        <w:spacing w:after="120"/>
      </w:pPr>
      <w:r>
        <w:t xml:space="preserve">Les fonctions les plus concernées par une meilleure exploitation de l'IA sont, à ce stade et sous réserve de confirmation lors de l'audit : l'exploitation portuaire, la coordination inter-services, la sûreté et la direction générale.</w:t>
      </w:r>
    </w:p>
    <w:p>
      <w:pPr>
        <w:spacing w:after="120"/>
      </w:pPr>
      <w:r>
        <w:t xml:space="preserve">Le sujet mérite d'être traité maintenant parce que la dispersion documentaire et le rythme différent des acteurs portuaires ralentissent déjà la prise de décision opérationnelle.</w:t>
      </w:r>
    </w:p>
    <w:p>
      <w:pPr>
        <w:pStyle w:val="Heading1"/>
      </w:pPr>
      <w:r>
        <w:t xml:space="preserve">3. Priorités métier et irritants visibles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dense : bordereaux, mouvements, incidents et validations circulant dans des séquences lourdes.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Coordination multi-acteurs : terminaux, transit, sûreté et exploitation avancent à des rythmes différents.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Anomalies peu visibles : les écarts remontent sans hiérarchisation claire.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Pilotage exigeant : les KPI opérationnels restent trop bruts pour la décision rapide.</w:t>
      </w:r>
    </w:p>
    <w:p>
      <w:pPr>
        <w:pStyle w:val="Heading1"/>
      </w:pPr>
      <w:r>
        <w:t xml:space="preserve">4. Cas d'usage et quick wins recommandés</w:t>
      </w:r>
    </w:p>
    <w:p>
      <w:pPr>
        <w:spacing w:after="120"/>
      </w:pPr>
      <w:r>
        <w:t xml:space="preserve">Ces cas d'usage restent des hypothèses de travail à confirmer et prioriser lors de l'audit.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Documentation portuaire augmentée (cas d'usage phare)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Bordereaux, mouvements et validations circulant dans des séquences lourdes.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Pièces et synthèses plus faciles à relire, retrouver et partager entre équipes.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Temps de traitement documentaire ; délai de recherche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Coordination multi-acteurs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Terminaux, transit, sûreté et exploitation avancent à des rythmes différents.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Briefs et synthèses partagés qui améliorent l'alignement opérationnel.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Délai de circulation de l'information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Détection d'anomalies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Écarts remontant sans hiérarchisation claire.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Exceptions mieux lisibles et priorisées pour les responsables.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Délai de détection ; anomalies traitées tôt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Pilotage de l'exploitation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KPI opérationnels trop bruts pour la décision rapide.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Indicateurs commentés et mis en contexte pour la direction.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Délai de consolidation ; lisibilité managériale</w:t>
      </w:r>
    </w:p>
    <w:p>
      <w:pPr>
        <w:pStyle w:val="Heading1"/>
      </w:pPr>
      <w:r>
        <w:t xml:space="preserve">5. Porte d'entrée recommandée</w:t>
      </w:r>
    </w:p>
    <w:p>
      <w:pPr>
        <w:spacing w:after="120"/>
      </w:pPr>
      <w:r>
        <w:t xml:space="preserve">Un audit IA gratuit ciblé sur la coordination portuaire et documentaire, suivi d'un échange expert de 45 minutes.</w:t>
      </w:r>
    </w:p>
    <w:p>
      <w:pPr>
        <w:pStyle w:val="Heading1"/>
      </w:pPr>
      <w:r>
        <w:t xml:space="preserve">6. Parcours recommandé</w:t>
      </w:r>
    </w:p>
    <w:p>
      <w:pPr>
        <w:spacing w:after="60"/>
      </w:pPr>
      <w:r>
        <w:rPr>
          <w:b/>
          <w:bCs/>
        </w:rPr>
        <w:t xml:space="preserve">J+0 — Audit, cadrage et priorisation : </w:t>
      </w:r>
      <w:r>
        <w:t xml:space="preserve">identifier les flux prioritaires (documentation, coordination, anomalies) et les équipes à mobiliser.</w:t>
      </w:r>
    </w:p>
    <w:p>
      <w:pPr>
        <w:spacing w:after="60"/>
      </w:pPr>
      <w:r>
        <w:rPr>
          <w:b/>
          <w:bCs/>
        </w:rPr>
        <w:t xml:space="preserve">J+15 — Premier livrable utile : </w:t>
      </w:r>
      <w:r>
        <w:t xml:space="preserve">calibrer un premier kit de synthèse documentaire ou de coordination sur des flux réels du port.</w:t>
      </w:r>
    </w:p>
    <w:p>
      <w:pPr>
        <w:spacing w:after="60"/>
      </w:pPr>
      <w:r>
        <w:rPr>
          <w:b/>
          <w:bCs/>
        </w:rPr>
        <w:t xml:space="preserve">J+45 — Formation ciblée et pilote : </w:t>
      </w:r>
      <w:r>
        <w:t xml:space="preserve">former les équipes retenues et lancer le premier terrain d'exécution, sous supervision humaine.</w:t>
      </w:r>
    </w:p>
    <w:p>
      <w:pPr>
        <w:spacing w:after="200"/>
      </w:pPr>
      <w:r>
        <w:rPr>
          <w:b/>
          <w:bCs/>
        </w:rPr>
        <w:t xml:space="preserve">J+90 — Mesure, gouvernance et extension : </w:t>
      </w:r>
      <w:r>
        <w:t xml:space="preserve">relire les premiers KPI, ajuster les usages et décider de l'extension.</w:t>
      </w:r>
    </w:p>
    <w:p>
      <w:pPr>
        <w:pStyle w:val="Heading1"/>
      </w:pPr>
      <w:r>
        <w:t xml:space="preserve">7. Formations prioritaires</w:t>
      </w:r>
    </w:p>
    <w:p>
      <w:pPr>
        <w:spacing w:after="120"/>
      </w:pPr>
      <w:r>
        <w:t xml:space="preserve">Sélection resserrée à six formations, regroupées en trois familles métier.</w:t>
      </w:r>
    </w:p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EXPLOITATION ET DOCUMENTATION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Documentation Portuaire Augmentée par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Exploitation, transit, sûreté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Accélérer le traitement et la recherche des documents opérationnels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procédures documentaires en vigueur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synthèse documentaire ; recherche sémantique dans la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le Port Autonome de San Pedro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directement à l'irritant « documentation dense ».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Coordination Multi-Acteurs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Exploitation, terminaux, transit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Fluidifier les briefs et synthèses entre acteurs portuaires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brief partagé ; checklist de coordination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le Port Autonome de San Pedro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coordination multi-acteurs ».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SÛRETÉ ET ANOMALIES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Détection d'Anomalies et Vigilance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Sûreté, exploitation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Mieux hiérarchiser les écarts et anomalies remontées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procédures de vigilance existantes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de hiérarchisation des exceptions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le Port Autonome de San Pedro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anomalies peu visibles ».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Gestion des Incidents Augmentée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Exploitation, sûreté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Structurer le traitement et le suivi des incidents opérationnels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Checklist de traitement d'incident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le Port Autonome de San Pedro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Renforce la réactivité opérationnelle du port.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DIRECTION ET PILOTAGE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Pilotage de l'Exploitation par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générale, exploitation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Mieux commenter et contextualiser les KPI opérationnels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type ; trames de commentaire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le Port Autonome de San Pedro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pilotage exigeant ».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IA pour Dirigeants : Vision et Stratégie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générale, comité de direction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Donner une lecture claire des usages, limites et conditions de réussite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de lecture des priorités ; cadre de gouvernance proposé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 minutes à 1 demi-journée, à confirmer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le Port Autonome de San Pedro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Assure l'alignement de la direction avant déploiement.</w:t>
            </w:r>
          </w:p>
        </w:tc>
      </w:tr>
    </w:tbl>
    <w:p/>
    <w:p>
      <w:pPr>
        <w:pStyle w:val="Heading1"/>
      </w:pPr>
      <w:r>
        <w:t xml:space="preserve">8. Livrables attendus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de priorités et séquence recommandée.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Premier kit de synthèse documentaire ou de coordination calibré sur des flux réels du 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de formation contextualisés à l'exploitation et à la sûreté portuaire.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Trames, prompts, checklists réutilisables.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Feuille de route d'exécution sur 90 jours.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Points de revue d'usage et d'adoption.</w:t>
      </w:r>
    </w:p>
    <w:p>
      <w:pPr>
        <w:pStyle w:val="Heading1"/>
      </w:pPr>
      <w:r>
        <w:t xml:space="preserve">9. Gouvernance, confidentialité et conduite du changement</w:t>
      </w:r>
    </w:p>
    <w:p>
      <w:pPr>
        <w:spacing w:after="120"/>
      </w:pPr>
      <w:r>
        <w:t xml:space="preserve">Compte tenu de la nature stratégique et sécuritaire de l'activité portuaire, ce volet est non négociable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documents opérationnels et données de sûreté restent sous supervision humaine systématique.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 alerte ou hiérarchisation d'anomalie générée par l'IA fait l'objet d'une revue humaine avant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progression se fait par pilote encadré avant toute extension.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cadre d'usage est documenté et validé par les responsables métier identifiés.</w:t>
      </w:r>
    </w:p>
    <w:p>
      <w:pPr>
        <w:pStyle w:val="Heading1"/>
      </w:pPr>
      <w:r>
        <w:t xml:space="preserve">10. Accompagnement post-formation</w:t>
      </w:r>
    </w:p>
    <w:p>
      <w:pPr>
        <w:spacing w:after="120"/>
      </w:pPr>
      <w:r>
        <w:t xml:space="preserve">L'accompagnement TransferAI ne s'arrête pas à la salle de formation. Les équipes formées gardent un accès gratuit à la communauté TransferAI pour partager des cas réels et recevoir des conseils pratiques d'exécution.</w:t>
      </w:r>
    </w:p>
    <w:p>
      <w:pPr>
        <w:pStyle w:val="Heading1"/>
      </w:pPr>
      <w:r>
        <w:t xml:space="preserve">11. Accompagnement 90 jours</w:t>
      </w:r>
    </w:p>
    <w:p>
      <w:pPr>
        <w:spacing w:after="120"/>
      </w:pPr>
      <w:r>
        <w:t xml:space="preserve">Après la formation, TransferAI reste engagé pendant 90 jours : points de suivi, permanence questions/réponses, revue des premiers cas traités, ajustement des trames, lecture des premiers KPI, puis arbitrage sur la suite.</w:t>
      </w:r>
    </w:p>
    <w:p>
      <w:pPr>
        <w:spacing w:after="120"/>
      </w:pPr>
      <w:r>
        <w:rPr>
          <w:i/>
          <w:iCs/>
          <w:color w:val="516072"/>
        </w:rPr>
        <w:t xml:space="preserve">Une structure de formation classique transmet un contenu. TransferAI forme, puis accompagne l'usage, la mise en pratique, la gouvernance et la montée en impact.</w:t>
      </w:r>
    </w:p>
    <w:p>
      <w:pPr>
        <w:pStyle w:val="Heading1"/>
      </w:pPr>
      <w:r>
        <w:t xml:space="preserve">12. Proposition immédiate</w:t>
      </w:r>
    </w:p>
    <w:p>
      <w:pPr>
        <w:spacing w:after="120"/>
      </w:pPr>
      <w:r>
        <w:t xml:space="preserve">Planifier un audit IA gratuit centré sur la coordination portuaire et documentaire, suivi d'un échange expert de 45 minutes.</w:t>
      </w:r>
    </w:p>
    <w:p>
      <w:pPr>
        <w:pBdr>
          <w:top w:val="single" w:color="D9D3CC" w:sz="6" w:space="4"/>
        </w:pBdr>
        <w:spacing w:after="100" w:before="400"/>
      </w:pPr>
      <w:r>
        <w:t xml:space="preserve"/>
      </w:r>
    </w:p>
    <w:p>
      <w:pPr>
        <w:spacing w:after="20"/>
      </w:pPr>
      <w:r>
        <w:rPr>
          <w:b/>
          <w:bCs/>
          <w:color w:val="10263F"/>
        </w:rPr>
        <w:t xml:space="preserve">Soulemane Konate</w:t>
      </w:r>
    </w:p>
    <w:p>
      <w:pPr>
        <w:spacing w:after="120"/>
      </w:pPr>
      <w:r>
        <w:rPr>
          <w:color w:val="516072"/>
          <w:sz w:val="18"/>
          <w:szCs w:val="18"/>
        </w:rPr>
        <w:t xml:space="preserve">Directeur IA &amp; Innovation</w:t>
      </w:r>
    </w:p>
    <w:p>
      <w:pPr>
        <w:spacing w:after="20"/>
      </w:pPr>
      <w:r>
        <w:rPr>
          <w:b/>
          <w:bCs/>
          <w:color w:val="10263F"/>
        </w:rPr>
        <w:t xml:space="preserve">Medard Sery</w:t>
      </w:r>
    </w:p>
    <w:p>
      <w:pPr>
        <w:spacing w:after="20"/>
      </w:pPr>
      <w:r>
        <w:rPr>
          <w:color w:val="516072"/>
          <w:sz w:val="18"/>
          <w:szCs w:val="18"/>
        </w:rPr>
        <w:t xml:space="preserve">Consultant expert · Data engineering, cloud &amp; plateformes IA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C" w:sz="4" w:space="4"/>
      </w:pBdr>
    </w:pPr>
    <w:r>
      <w:rPr>
        <w:color w:val="516072"/>
        <w:sz w:val="14"/>
        <w:szCs w:val="14"/>
      </w:rPr>
      <w:t xml:space="preserve">TransferAI | Hub IA de Nettelecom CI | contact@transferai.ci | www.transferai.ci | +225 07 16 57 39 90 | Riviera 3, carrefour Sainte Famille, Abidjan</w:t>
    </w:r>
  </w:p>
  <w:p>
    <w:pPr>
      <w:jc w:val="right"/>
    </w:pPr>
    <w:r>
      <w:rPr>
        <w:color w:val="516072"/>
        <w:sz w:val="14"/>
        <w:szCs w:val="14"/>
      </w:rPr>
      <w:t xml:space="preserve">Page </w:t>
    </w:r>
    <w:r>
      <w:rPr>
        <w:color w:val="51607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076325" cy="476250"/>
          <wp:effectExtent t="0" r="0" b="0" l="0"/>
          <wp:docPr id="1" name="logo" descr="Logo" title="TransferAI x Nettele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6724" w:sz="6" w:space="4"/>
      </w:pBdr>
      <w:spacing w:after="180" w:before="360"/>
      <w:outlineLvl w:val="0"/>
    </w:pPr>
    <w:rPr>
      <w:rFonts w:ascii="Arial" w:cs="Arial" w:eastAsia="Arial" w:hAnsi="Arial"/>
      <w:b/>
      <w:bCs/>
      <w:color w:val="10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D667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4d76f78d87d9c09756a902a6ee31e79f967c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2026-07-07T20:31:57.453Z</dcterms:created>
  <dcterms:modified xsi:type="dcterms:W3CDTF">2026-07-07T20:31:57.453Z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